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317E3D">
      <w:pPr>
        <w:pStyle w:val="4"/>
        <w:widowControl/>
        <w:shd w:val="clear" w:color="auto" w:fill="FFFFFF"/>
        <w:spacing w:beforeAutospacing="0" w:afterAutospacing="0"/>
        <w:jc w:val="center"/>
        <w:rPr>
          <w:rFonts w:hint="eastAsia" w:ascii="微软雅黑" w:hAnsi="微软雅黑" w:eastAsia="微软雅黑" w:cs="微软雅黑"/>
          <w:b/>
          <w:bCs/>
          <w:color w:val="000000"/>
          <w:sz w:val="43"/>
          <w:szCs w:val="43"/>
          <w:shd w:val="clear" w:color="auto" w:fill="FFFFFF"/>
        </w:rPr>
      </w:pPr>
      <w:r>
        <w:rPr>
          <w:rFonts w:ascii="微软雅黑" w:hAnsi="微软雅黑" w:eastAsia="微软雅黑" w:cs="微软雅黑"/>
          <w:b/>
          <w:bCs/>
          <w:color w:val="000000"/>
          <w:sz w:val="43"/>
          <w:szCs w:val="43"/>
          <w:shd w:val="clear" w:color="auto" w:fill="FFFFFF"/>
        </w:rPr>
        <w:t>关于我单位完成的“骨盆骨折微创固定的数字化基础及无遮挡骨科手术机器人系统开发与应用”项目申报2026年度内蒙古自治区科学技术奖的公示</w:t>
      </w:r>
    </w:p>
    <w:p w14:paraId="23093503">
      <w:pPr>
        <w:pStyle w:val="4"/>
        <w:widowControl/>
        <w:shd w:val="clear" w:color="auto" w:fill="FFFFFF"/>
        <w:spacing w:before="210" w:beforeAutospacing="0" w:afterAutospacing="0"/>
        <w:rPr>
          <w:rFonts w:hint="eastAsia" w:ascii="微软雅黑" w:hAnsi="微软雅黑" w:eastAsia="微软雅黑" w:cs="微软雅黑"/>
          <w:color w:val="000000"/>
          <w:sz w:val="16"/>
          <w:szCs w:val="16"/>
        </w:rPr>
      </w:pPr>
      <w:r>
        <w:rPr>
          <w:rFonts w:hint="eastAsia" w:ascii="宋体" w:hAnsi="宋体" w:eastAsia="宋体" w:cs="宋体"/>
          <w:color w:val="000000"/>
          <w:sz w:val="28"/>
          <w:szCs w:val="28"/>
          <w:shd w:val="clear" w:color="auto" w:fill="FFFFFF"/>
        </w:rPr>
        <w:t>各</w:t>
      </w:r>
      <w:r>
        <w:rPr>
          <w:rFonts w:hint="eastAsia" w:ascii="宋体" w:hAnsi="宋体" w:eastAsia="宋体" w:cs="宋体"/>
          <w:color w:val="000000"/>
          <w:sz w:val="28"/>
          <w:szCs w:val="28"/>
          <w:shd w:val="clear" w:color="auto" w:fill="FFFFFF"/>
          <w:lang w:val="en-US" w:eastAsia="zh-CN"/>
        </w:rPr>
        <w:t>科室</w:t>
      </w:r>
      <w:r>
        <w:rPr>
          <w:rFonts w:hint="eastAsia" w:ascii="宋体" w:hAnsi="宋体" w:eastAsia="宋体" w:cs="宋体"/>
          <w:color w:val="000000"/>
          <w:sz w:val="28"/>
          <w:szCs w:val="28"/>
          <w:shd w:val="clear" w:color="auto" w:fill="FFFFFF"/>
        </w:rPr>
        <w:t>：</w:t>
      </w:r>
    </w:p>
    <w:p w14:paraId="5AE1E14A">
      <w:pPr>
        <w:pStyle w:val="4"/>
        <w:widowControl/>
        <w:shd w:val="clear" w:color="auto" w:fill="FFFFFF"/>
        <w:spacing w:beforeAutospacing="0" w:afterAutospacing="0"/>
        <w:ind w:firstLine="370"/>
        <w:rPr>
          <w:rFonts w:hint="eastAsia" w:ascii="微软雅黑" w:hAnsi="微软雅黑" w:eastAsia="微软雅黑" w:cs="微软雅黑"/>
          <w:color w:val="000000"/>
          <w:sz w:val="16"/>
          <w:szCs w:val="16"/>
        </w:rPr>
      </w:pPr>
      <w:r>
        <w:rPr>
          <w:rFonts w:hint="eastAsia" w:ascii="宋体" w:hAnsi="宋体" w:eastAsia="宋体" w:cs="宋体"/>
          <w:color w:val="000000"/>
          <w:sz w:val="28"/>
          <w:szCs w:val="28"/>
          <w:shd w:val="clear" w:color="auto" w:fill="FFFFFF"/>
        </w:rPr>
        <w:t>根据《内蒙古自治区科学技术厅关于启动</w:t>
      </w:r>
      <w:r>
        <w:rPr>
          <w:rFonts w:ascii="Times New Roman" w:hAnsi="Times New Roman" w:eastAsia="宋体"/>
          <w:color w:val="000000"/>
          <w:sz w:val="28"/>
          <w:szCs w:val="28"/>
          <w:shd w:val="clear" w:color="auto" w:fill="FFFFFF"/>
        </w:rPr>
        <w:t>2026</w:t>
      </w:r>
      <w:r>
        <w:rPr>
          <w:rFonts w:hint="eastAsia" w:ascii="宋体" w:hAnsi="宋体" w:eastAsia="宋体" w:cs="宋体"/>
          <w:color w:val="000000"/>
          <w:sz w:val="28"/>
          <w:szCs w:val="28"/>
          <w:shd w:val="clear" w:color="auto" w:fill="FFFFFF"/>
        </w:rPr>
        <w:t>年度内蒙古自治区科学技术奖提名工作的通知》（内科成字</w:t>
      </w:r>
      <w:r>
        <w:rPr>
          <w:rFonts w:ascii="Times New Roman" w:hAnsi="Times New Roman" w:eastAsia="宋体"/>
          <w:color w:val="000000"/>
          <w:sz w:val="28"/>
          <w:szCs w:val="28"/>
          <w:shd w:val="clear" w:color="auto" w:fill="FFFFFF"/>
        </w:rPr>
        <w:t>[2026]47</w:t>
      </w:r>
      <w:r>
        <w:rPr>
          <w:rFonts w:hint="eastAsia" w:ascii="宋体" w:hAnsi="宋体" w:eastAsia="宋体" w:cs="宋体"/>
          <w:color w:val="000000"/>
          <w:sz w:val="28"/>
          <w:szCs w:val="28"/>
          <w:shd w:val="clear" w:color="auto" w:fill="FFFFFF"/>
        </w:rPr>
        <w:t>号）《内蒙古自治区科学技术奖励办法》等文件要求，现对我单位完成的</w:t>
      </w:r>
      <w:r>
        <w:rPr>
          <w:rFonts w:ascii="Times New Roman" w:hAnsi="Times New Roman" w:eastAsia="微软雅黑"/>
          <w:color w:val="000000"/>
          <w:sz w:val="28"/>
          <w:szCs w:val="28"/>
          <w:shd w:val="clear" w:color="auto" w:fill="FFFFFF"/>
        </w:rPr>
        <w:t>202</w:t>
      </w:r>
      <w:r>
        <w:rPr>
          <w:rFonts w:ascii="Times New Roman" w:hAnsi="Times New Roman" w:eastAsia="宋体"/>
          <w:color w:val="000000"/>
          <w:sz w:val="28"/>
          <w:szCs w:val="28"/>
          <w:shd w:val="clear" w:color="auto" w:fill="FFFFFF"/>
        </w:rPr>
        <w:t>6</w:t>
      </w:r>
      <w:r>
        <w:rPr>
          <w:rFonts w:hint="eastAsia" w:ascii="宋体" w:hAnsi="宋体" w:eastAsia="宋体" w:cs="宋体"/>
          <w:color w:val="000000"/>
          <w:sz w:val="28"/>
          <w:szCs w:val="28"/>
          <w:shd w:val="clear" w:color="auto" w:fill="FFFFFF"/>
        </w:rPr>
        <w:t>年度内蒙古自治区科学技术奖</w:t>
      </w:r>
      <w:r>
        <w:rPr>
          <w:rFonts w:hint="eastAsia" w:ascii="宋体" w:hAnsi="宋体" w:eastAsia="宋体" w:cs="宋体"/>
          <w:color w:val="000000"/>
          <w:sz w:val="28"/>
          <w:szCs w:val="28"/>
          <w:u w:val="single"/>
          <w:shd w:val="clear" w:color="auto" w:fill="FFFFFF"/>
        </w:rPr>
        <w:t> </w:t>
      </w:r>
      <w:bookmarkStart w:id="0" w:name="OLE_LINK1"/>
      <w:r>
        <w:rPr>
          <w:rFonts w:ascii="宋体" w:hAnsi="宋体" w:eastAsia="宋体" w:cs="宋体"/>
          <w:color w:val="000000"/>
          <w:sz w:val="28"/>
          <w:szCs w:val="28"/>
          <w:u w:val="single"/>
          <w:shd w:val="clear" w:color="auto" w:fill="FFFFFF"/>
        </w:rPr>
        <w:t>骨盆骨折微创固定的数字化基础及无遮挡骨科手术机器人系统开发与应用</w:t>
      </w:r>
      <w:bookmarkEnd w:id="0"/>
      <w:r>
        <w:rPr>
          <w:rFonts w:hint="eastAsia" w:ascii="宋体" w:hAnsi="宋体" w:eastAsia="宋体" w:cs="宋体"/>
          <w:color w:val="000000"/>
          <w:sz w:val="28"/>
          <w:szCs w:val="28"/>
          <w:u w:val="single"/>
          <w:shd w:val="clear" w:color="auto" w:fill="FFFFFF"/>
        </w:rPr>
        <w:t> </w:t>
      </w:r>
      <w:r>
        <w:rPr>
          <w:rFonts w:hint="eastAsia" w:ascii="宋体" w:hAnsi="宋体" w:eastAsia="宋体" w:cs="宋体"/>
          <w:color w:val="000000"/>
          <w:sz w:val="28"/>
          <w:szCs w:val="28"/>
          <w:shd w:val="clear" w:color="auto" w:fill="FFFFFF"/>
        </w:rPr>
        <w:t>项目进行公示。公示内容包括项目名称、提名者、提名意见、提名奖励类别及等级、主要知识产权和标准规范等目录、主要完成人及排序、主要完成单位及排序，具体公示内容见附件。</w:t>
      </w:r>
      <w:bookmarkStart w:id="1" w:name="_GoBack"/>
      <w:bookmarkEnd w:id="1"/>
    </w:p>
    <w:p w14:paraId="5036E0B3">
      <w:pPr>
        <w:pStyle w:val="4"/>
        <w:widowControl/>
        <w:shd w:val="clear" w:color="auto" w:fill="FFFFFF"/>
        <w:spacing w:beforeAutospacing="0" w:afterAutospacing="0"/>
        <w:ind w:firstLine="560" w:firstLineChars="200"/>
        <w:rPr>
          <w:rFonts w:hint="eastAsia" w:ascii="微软雅黑" w:hAnsi="微软雅黑" w:eastAsia="微软雅黑" w:cs="微软雅黑"/>
          <w:color w:val="000000"/>
          <w:sz w:val="16"/>
          <w:szCs w:val="16"/>
        </w:rPr>
      </w:pPr>
      <w:r>
        <w:rPr>
          <w:rFonts w:hint="eastAsia" w:ascii="宋体" w:hAnsi="宋体" w:eastAsia="宋体" w:cs="宋体"/>
          <w:color w:val="000000"/>
          <w:sz w:val="28"/>
          <w:szCs w:val="28"/>
          <w:shd w:val="clear" w:color="auto" w:fill="FFFFFF"/>
        </w:rPr>
        <w:t>公示期为</w:t>
      </w:r>
      <w:r>
        <w:rPr>
          <w:rFonts w:ascii="Times New Roman" w:hAnsi="Times New Roman" w:eastAsia="宋体"/>
          <w:color w:val="000000"/>
          <w:sz w:val="28"/>
          <w:szCs w:val="28"/>
          <w:shd w:val="clear" w:color="auto" w:fill="FFFFFF"/>
        </w:rPr>
        <w:t>2026</w:t>
      </w:r>
      <w:r>
        <w:rPr>
          <w:rFonts w:hint="eastAsia" w:ascii="宋体" w:hAnsi="宋体" w:eastAsia="宋体" w:cs="宋体"/>
          <w:color w:val="000000"/>
          <w:sz w:val="28"/>
          <w:szCs w:val="28"/>
          <w:shd w:val="clear" w:color="auto" w:fill="FFFFFF"/>
        </w:rPr>
        <w:t>年</w:t>
      </w:r>
      <w:r>
        <w:rPr>
          <w:rFonts w:ascii="Times New Roman" w:hAnsi="Times New Roman" w:eastAsia="宋体"/>
          <w:color w:val="000000"/>
          <w:sz w:val="28"/>
          <w:szCs w:val="28"/>
          <w:shd w:val="clear" w:color="auto" w:fill="FFFFFF"/>
        </w:rPr>
        <w:t>9</w:t>
      </w:r>
      <w:r>
        <w:rPr>
          <w:rFonts w:hint="eastAsia" w:ascii="宋体" w:hAnsi="宋体" w:eastAsia="宋体" w:cs="宋体"/>
          <w:color w:val="000000"/>
          <w:sz w:val="28"/>
          <w:szCs w:val="28"/>
          <w:shd w:val="clear" w:color="auto" w:fill="FFFFFF"/>
        </w:rPr>
        <w:t>月</w:t>
      </w:r>
      <w:r>
        <w:rPr>
          <w:rFonts w:hint="eastAsia" w:ascii="Times New Roman" w:hAnsi="Times New Roman" w:eastAsia="宋体"/>
          <w:color w:val="000000"/>
          <w:sz w:val="28"/>
          <w:szCs w:val="28"/>
          <w:shd w:val="clear" w:color="auto" w:fill="FFFFFF"/>
        </w:rPr>
        <w:t>7</w:t>
      </w:r>
      <w:r>
        <w:rPr>
          <w:rFonts w:hint="eastAsia" w:ascii="宋体" w:hAnsi="宋体" w:eastAsia="宋体" w:cs="宋体"/>
          <w:color w:val="000000"/>
          <w:sz w:val="28"/>
          <w:szCs w:val="28"/>
          <w:shd w:val="clear" w:color="auto" w:fill="FFFFFF"/>
        </w:rPr>
        <w:t>日至</w:t>
      </w:r>
      <w:r>
        <w:rPr>
          <w:rFonts w:ascii="Times New Roman" w:hAnsi="Times New Roman" w:eastAsia="宋体"/>
          <w:color w:val="000000"/>
          <w:sz w:val="28"/>
          <w:szCs w:val="28"/>
          <w:shd w:val="clear" w:color="auto" w:fill="FFFFFF"/>
        </w:rPr>
        <w:t>2026</w:t>
      </w:r>
      <w:r>
        <w:rPr>
          <w:rFonts w:hint="eastAsia" w:ascii="宋体" w:hAnsi="宋体" w:eastAsia="宋体" w:cs="宋体"/>
          <w:color w:val="000000"/>
          <w:sz w:val="28"/>
          <w:szCs w:val="28"/>
          <w:shd w:val="clear" w:color="auto" w:fill="FFFFFF"/>
        </w:rPr>
        <w:t>年</w:t>
      </w:r>
      <w:r>
        <w:rPr>
          <w:rFonts w:ascii="Times New Roman" w:hAnsi="Times New Roman" w:eastAsia="宋体"/>
          <w:color w:val="000000"/>
          <w:sz w:val="28"/>
          <w:szCs w:val="28"/>
          <w:shd w:val="clear" w:color="auto" w:fill="FFFFFF"/>
        </w:rPr>
        <w:t>9</w:t>
      </w:r>
      <w:r>
        <w:rPr>
          <w:rFonts w:hint="eastAsia" w:ascii="宋体" w:hAnsi="宋体" w:eastAsia="宋体" w:cs="宋体"/>
          <w:color w:val="000000"/>
          <w:sz w:val="28"/>
          <w:szCs w:val="28"/>
          <w:shd w:val="clear" w:color="auto" w:fill="FFFFFF"/>
        </w:rPr>
        <w:t>月</w:t>
      </w:r>
      <w:r>
        <w:rPr>
          <w:rFonts w:hint="eastAsia" w:ascii="Times New Roman" w:hAnsi="Times New Roman" w:eastAsia="宋体"/>
          <w:color w:val="000000"/>
          <w:sz w:val="28"/>
          <w:szCs w:val="28"/>
          <w:shd w:val="clear" w:color="auto" w:fill="FFFFFF"/>
        </w:rPr>
        <w:t>11</w:t>
      </w:r>
      <w:r>
        <w:rPr>
          <w:rFonts w:hint="eastAsia" w:ascii="宋体" w:hAnsi="宋体" w:eastAsia="宋体" w:cs="宋体"/>
          <w:color w:val="000000"/>
          <w:sz w:val="28"/>
          <w:szCs w:val="28"/>
          <w:shd w:val="clear" w:color="auto" w:fill="FFFFFF"/>
        </w:rPr>
        <w:t>日，共</w:t>
      </w:r>
      <w:r>
        <w:rPr>
          <w:rFonts w:ascii="Times New Roman" w:hAnsi="Times New Roman" w:eastAsia="宋体"/>
          <w:color w:val="000000"/>
          <w:sz w:val="28"/>
          <w:szCs w:val="28"/>
          <w:shd w:val="clear" w:color="auto" w:fill="FFFFFF"/>
        </w:rPr>
        <w:t>5</w:t>
      </w:r>
      <w:r>
        <w:rPr>
          <w:rFonts w:hint="eastAsia" w:ascii="宋体" w:hAnsi="宋体" w:eastAsia="宋体" w:cs="宋体"/>
          <w:color w:val="000000"/>
          <w:sz w:val="28"/>
          <w:szCs w:val="28"/>
          <w:shd w:val="clear" w:color="auto" w:fill="FFFFFF"/>
        </w:rPr>
        <w:t>个工作日。公示期内如有异议，可向学校提出。提出异议的单位或者个人应当提供书面异议材料，并提供必要的证明文件。以单位名义提出异议的，应当在异议材料上加盖本单位公章并注明联系方式；个人提出异议的，应当在书面异议材料上签署真实姓名、工作单位和联系方式。</w:t>
      </w:r>
    </w:p>
    <w:p w14:paraId="65BF04F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0" w:beforeAutospacing="0" w:after="0" w:afterAutospacing="0"/>
        <w:ind w:left="0" w:right="0" w:firstLine="370"/>
        <w:rPr>
          <w:rFonts w:hint="eastAsia" w:ascii="宋体" w:hAnsi="宋体" w:cs="宋体"/>
          <w:i w:val="0"/>
          <w:iCs w:val="0"/>
          <w:caps w:val="0"/>
          <w:color w:val="000000"/>
          <w:spacing w:val="0"/>
          <w:sz w:val="28"/>
          <w:szCs w:val="28"/>
          <w:shd w:val="clear" w:color="auto" w:fill="FFFFFF"/>
          <w:lang w:val="en-US" w:eastAsia="zh-CN"/>
        </w:rPr>
      </w:pPr>
      <w:r>
        <w:rPr>
          <w:rFonts w:hint="eastAsia" w:ascii="宋体" w:hAnsi="宋体" w:eastAsia="宋体" w:cs="宋体"/>
          <w:i w:val="0"/>
          <w:iCs w:val="0"/>
          <w:caps w:val="0"/>
          <w:color w:val="000000"/>
          <w:spacing w:val="0"/>
          <w:sz w:val="28"/>
          <w:szCs w:val="28"/>
          <w:shd w:val="clear" w:color="auto" w:fill="FFFFFF"/>
        </w:rPr>
        <w:t>联</w:t>
      </w:r>
      <w:r>
        <w:rPr>
          <w:rFonts w:hint="default" w:ascii="Times New Roman" w:hAnsi="Times New Roman" w:eastAsia="微软雅黑" w:cs="Times New Roman"/>
          <w:i w:val="0"/>
          <w:iCs w:val="0"/>
          <w:caps w:val="0"/>
          <w:color w:val="000000"/>
          <w:spacing w:val="0"/>
          <w:sz w:val="28"/>
          <w:szCs w:val="28"/>
          <w:shd w:val="clear" w:color="auto" w:fill="FFFFFF"/>
        </w:rPr>
        <w:t> </w:t>
      </w:r>
      <w:r>
        <w:rPr>
          <w:rFonts w:hint="eastAsia" w:ascii="宋体" w:hAnsi="宋体" w:eastAsia="宋体" w:cs="宋体"/>
          <w:i w:val="0"/>
          <w:iCs w:val="0"/>
          <w:caps w:val="0"/>
          <w:color w:val="000000"/>
          <w:spacing w:val="0"/>
          <w:sz w:val="28"/>
          <w:szCs w:val="28"/>
          <w:shd w:val="clear" w:color="auto" w:fill="FFFFFF"/>
        </w:rPr>
        <w:t>系</w:t>
      </w:r>
      <w:r>
        <w:rPr>
          <w:rFonts w:hint="default" w:ascii="Times New Roman" w:hAnsi="Times New Roman" w:eastAsia="微软雅黑" w:cs="Times New Roman"/>
          <w:i w:val="0"/>
          <w:iCs w:val="0"/>
          <w:caps w:val="0"/>
          <w:color w:val="000000"/>
          <w:spacing w:val="0"/>
          <w:sz w:val="28"/>
          <w:szCs w:val="28"/>
          <w:shd w:val="clear" w:color="auto" w:fill="FFFFFF"/>
        </w:rPr>
        <w:t> </w:t>
      </w:r>
      <w:r>
        <w:rPr>
          <w:rFonts w:hint="eastAsia" w:ascii="宋体" w:hAnsi="宋体" w:eastAsia="宋体" w:cs="宋体"/>
          <w:i w:val="0"/>
          <w:iCs w:val="0"/>
          <w:caps w:val="0"/>
          <w:color w:val="000000"/>
          <w:spacing w:val="0"/>
          <w:sz w:val="28"/>
          <w:szCs w:val="28"/>
          <w:shd w:val="clear" w:color="auto" w:fill="FFFFFF"/>
        </w:rPr>
        <w:t>人：</w:t>
      </w:r>
      <w:r>
        <w:rPr>
          <w:rFonts w:hint="eastAsia" w:ascii="宋体" w:hAnsi="宋体" w:cs="宋体"/>
          <w:i w:val="0"/>
          <w:iCs w:val="0"/>
          <w:caps w:val="0"/>
          <w:color w:val="000000"/>
          <w:spacing w:val="0"/>
          <w:sz w:val="28"/>
          <w:szCs w:val="28"/>
          <w:shd w:val="clear" w:color="auto" w:fill="FFFFFF"/>
          <w:lang w:val="en-US" w:eastAsia="zh-CN"/>
        </w:rPr>
        <w:t>王建忠</w:t>
      </w:r>
    </w:p>
    <w:p w14:paraId="7B13652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0" w:beforeAutospacing="0" w:after="0" w:afterAutospacing="0"/>
        <w:ind w:left="0" w:right="0" w:firstLine="370"/>
        <w:rPr>
          <w:rFonts w:hint="default" w:ascii="Times New Roman" w:hAnsi="Times New Roman" w:eastAsia="宋体" w:cs="Times New Roman"/>
          <w:i w:val="0"/>
          <w:iCs w:val="0"/>
          <w:caps w:val="0"/>
          <w:color w:val="000000"/>
          <w:spacing w:val="0"/>
          <w:sz w:val="28"/>
          <w:szCs w:val="28"/>
          <w:shd w:val="clear" w:color="auto" w:fill="FFFFFF"/>
          <w:lang w:val="en-US" w:eastAsia="zh-CN"/>
        </w:rPr>
      </w:pPr>
      <w:r>
        <w:rPr>
          <w:rFonts w:hint="eastAsia" w:ascii="宋体" w:hAnsi="宋体" w:eastAsia="宋体" w:cs="宋体"/>
          <w:i w:val="0"/>
          <w:iCs w:val="0"/>
          <w:caps w:val="0"/>
          <w:color w:val="000000"/>
          <w:spacing w:val="0"/>
          <w:sz w:val="28"/>
          <w:szCs w:val="28"/>
          <w:shd w:val="clear" w:color="auto" w:fill="FFFFFF"/>
        </w:rPr>
        <w:t>联系电话：</w:t>
      </w:r>
      <w:r>
        <w:rPr>
          <w:rFonts w:hint="default" w:ascii="Times New Roman" w:hAnsi="Times New Roman" w:eastAsia="宋体" w:cs="Times New Roman"/>
          <w:i w:val="0"/>
          <w:iCs w:val="0"/>
          <w:caps w:val="0"/>
          <w:color w:val="000000"/>
          <w:spacing w:val="0"/>
          <w:sz w:val="28"/>
          <w:szCs w:val="28"/>
          <w:shd w:val="clear" w:color="auto" w:fill="FFFFFF"/>
        </w:rPr>
        <w:t>0471-</w:t>
      </w:r>
      <w:r>
        <w:rPr>
          <w:rFonts w:hint="eastAsia" w:ascii="Times New Roman" w:hAnsi="Times New Roman" w:cs="Times New Roman"/>
          <w:i w:val="0"/>
          <w:iCs w:val="0"/>
          <w:caps w:val="0"/>
          <w:color w:val="000000"/>
          <w:spacing w:val="0"/>
          <w:sz w:val="28"/>
          <w:szCs w:val="28"/>
          <w:shd w:val="clear" w:color="auto" w:fill="FFFFFF"/>
          <w:lang w:val="en-US" w:eastAsia="zh-CN"/>
        </w:rPr>
        <w:t>2575986</w:t>
      </w:r>
    </w:p>
    <w:p w14:paraId="7FDE118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0" w:beforeAutospacing="0" w:after="0" w:afterAutospacing="0"/>
        <w:ind w:left="0" w:right="0" w:firstLine="370"/>
        <w:jc w:val="right"/>
        <w:rPr>
          <w:rFonts w:hint="eastAsia" w:ascii="宋体" w:hAnsi="宋体" w:eastAsia="宋体" w:cs="宋体"/>
          <w:i w:val="0"/>
          <w:iCs w:val="0"/>
          <w:caps w:val="0"/>
          <w:color w:val="000000"/>
          <w:spacing w:val="0"/>
          <w:sz w:val="28"/>
          <w:szCs w:val="28"/>
          <w:shd w:val="clear" w:color="auto" w:fill="FFFFFF"/>
        </w:rPr>
      </w:pPr>
      <w:r>
        <w:rPr>
          <w:rFonts w:hint="eastAsia" w:ascii="Times New Roman" w:hAnsi="Times New Roman" w:eastAsia="宋体" w:cs="Times New Roman"/>
          <w:i w:val="0"/>
          <w:iCs w:val="0"/>
          <w:caps w:val="0"/>
          <w:color w:val="000000"/>
          <w:spacing w:val="0"/>
          <w:sz w:val="28"/>
          <w:szCs w:val="28"/>
          <w:shd w:val="clear" w:color="auto" w:fill="FFFFFF"/>
          <w:lang w:val="en-US" w:eastAsia="zh-CN"/>
        </w:rPr>
        <w:t>科研</w:t>
      </w:r>
      <w:r>
        <w:rPr>
          <w:rFonts w:hint="eastAsia" w:ascii="Times New Roman" w:hAnsi="Times New Roman" w:cs="Times New Roman"/>
          <w:i w:val="0"/>
          <w:iCs w:val="0"/>
          <w:caps w:val="0"/>
          <w:color w:val="000000"/>
          <w:spacing w:val="0"/>
          <w:sz w:val="28"/>
          <w:szCs w:val="28"/>
          <w:shd w:val="clear" w:color="auto" w:fill="FFFFFF"/>
          <w:lang w:val="en-US" w:eastAsia="zh-CN"/>
        </w:rPr>
        <w:t>部</w:t>
      </w:r>
      <w:r>
        <w:rPr>
          <w:rFonts w:hint="eastAsia" w:ascii="宋体" w:hAnsi="宋体" w:eastAsia="宋体" w:cs="宋体"/>
          <w:i w:val="0"/>
          <w:iCs w:val="0"/>
          <w:caps w:val="0"/>
          <w:color w:val="000000"/>
          <w:spacing w:val="0"/>
          <w:sz w:val="28"/>
          <w:szCs w:val="28"/>
          <w:shd w:val="clear" w:color="auto" w:fill="FFFFFF"/>
        </w:rPr>
        <w:t xml:space="preserve">   </w:t>
      </w:r>
    </w:p>
    <w:p w14:paraId="3589569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0" w:beforeAutospacing="0" w:after="0" w:afterAutospacing="0"/>
        <w:ind w:left="0" w:right="0" w:firstLine="370"/>
        <w:jc w:val="right"/>
        <w:rPr>
          <w:rFonts w:hint="eastAsia" w:ascii="微软雅黑" w:hAnsi="微软雅黑" w:eastAsia="微软雅黑" w:cs="微软雅黑"/>
          <w:i w:val="0"/>
          <w:iCs w:val="0"/>
          <w:caps w:val="0"/>
          <w:color w:val="000000"/>
          <w:spacing w:val="0"/>
          <w:sz w:val="16"/>
          <w:szCs w:val="16"/>
        </w:rPr>
      </w:pPr>
      <w:r>
        <w:rPr>
          <w:rFonts w:hint="default" w:ascii="Times New Roman" w:hAnsi="Times New Roman" w:eastAsia="微软雅黑" w:cs="Times New Roman"/>
          <w:i w:val="0"/>
          <w:iCs w:val="0"/>
          <w:caps w:val="0"/>
          <w:color w:val="000000"/>
          <w:spacing w:val="0"/>
          <w:sz w:val="28"/>
          <w:szCs w:val="28"/>
          <w:shd w:val="clear" w:color="auto" w:fill="FFFFFF"/>
        </w:rPr>
        <w:t>2026</w:t>
      </w:r>
      <w:r>
        <w:rPr>
          <w:rFonts w:hint="eastAsia" w:ascii="宋体" w:hAnsi="宋体" w:eastAsia="宋体" w:cs="宋体"/>
          <w:i w:val="0"/>
          <w:iCs w:val="0"/>
          <w:caps w:val="0"/>
          <w:color w:val="000000"/>
          <w:spacing w:val="0"/>
          <w:sz w:val="28"/>
          <w:szCs w:val="28"/>
          <w:shd w:val="clear" w:color="auto" w:fill="FFFFFF"/>
        </w:rPr>
        <w:t>年</w:t>
      </w:r>
      <w:r>
        <w:rPr>
          <w:rFonts w:hint="default" w:ascii="Times New Roman" w:hAnsi="Times New Roman" w:eastAsia="微软雅黑" w:cs="Times New Roman"/>
          <w:i w:val="0"/>
          <w:iCs w:val="0"/>
          <w:caps w:val="0"/>
          <w:color w:val="000000"/>
          <w:spacing w:val="0"/>
          <w:sz w:val="28"/>
          <w:szCs w:val="28"/>
          <w:shd w:val="clear" w:color="auto" w:fill="FFFFFF"/>
        </w:rPr>
        <w:t>9</w:t>
      </w:r>
      <w:r>
        <w:rPr>
          <w:rFonts w:hint="eastAsia" w:ascii="宋体" w:hAnsi="宋体" w:eastAsia="宋体" w:cs="宋体"/>
          <w:i w:val="0"/>
          <w:iCs w:val="0"/>
          <w:caps w:val="0"/>
          <w:color w:val="000000"/>
          <w:spacing w:val="0"/>
          <w:sz w:val="28"/>
          <w:szCs w:val="28"/>
          <w:shd w:val="clear" w:color="auto" w:fill="FFFFFF"/>
        </w:rPr>
        <w:t>月</w:t>
      </w:r>
      <w:r>
        <w:rPr>
          <w:rFonts w:hint="eastAsia" w:ascii="Times New Roman" w:hAnsi="Times New Roman" w:eastAsia="微软雅黑" w:cs="Times New Roman"/>
          <w:i w:val="0"/>
          <w:iCs w:val="0"/>
          <w:caps w:val="0"/>
          <w:color w:val="000000"/>
          <w:spacing w:val="0"/>
          <w:sz w:val="28"/>
          <w:szCs w:val="28"/>
          <w:shd w:val="clear" w:color="auto" w:fill="FFFFFF"/>
          <w:lang w:val="en-US" w:eastAsia="zh-CN"/>
        </w:rPr>
        <w:t>7</w:t>
      </w:r>
      <w:r>
        <w:rPr>
          <w:rFonts w:hint="eastAsia" w:ascii="宋体" w:hAnsi="宋体" w:eastAsia="宋体" w:cs="宋体"/>
          <w:i w:val="0"/>
          <w:iCs w:val="0"/>
          <w:caps w:val="0"/>
          <w:color w:val="000000"/>
          <w:spacing w:val="0"/>
          <w:sz w:val="28"/>
          <w:szCs w:val="28"/>
          <w:shd w:val="clear" w:color="auto" w:fill="FFFFFF"/>
        </w:rPr>
        <w:t>日</w:t>
      </w:r>
    </w:p>
    <w:p w14:paraId="246B393C">
      <w:pPr>
        <w:pStyle w:val="4"/>
        <w:widowControl/>
        <w:shd w:val="clear" w:color="auto" w:fill="FFFFFF"/>
        <w:spacing w:beforeAutospacing="0" w:afterAutospacing="0"/>
        <w:ind w:firstLine="370"/>
        <w:rPr>
          <w:rFonts w:ascii="Times New Roman" w:hAnsi="Times New Roman" w:eastAsia="宋体"/>
          <w:color w:val="000000"/>
          <w:sz w:val="28"/>
          <w:szCs w:val="28"/>
          <w:shd w:val="clear" w:color="auto" w:fill="FFFFFF"/>
        </w:rPr>
      </w:pPr>
    </w:p>
    <w:p w14:paraId="320584AD">
      <w:pPr>
        <w:pStyle w:val="4"/>
        <w:widowControl/>
        <w:shd w:val="clear" w:color="auto" w:fill="FFFFFF"/>
        <w:spacing w:beforeAutospacing="0" w:afterAutospacing="0"/>
        <w:rPr>
          <w:rFonts w:hint="eastAsia" w:ascii="微软雅黑" w:hAnsi="微软雅黑" w:eastAsia="微软雅黑" w:cs="微软雅黑"/>
          <w:b/>
          <w:bCs/>
          <w:color w:val="000000"/>
          <w:shd w:val="clear" w:color="auto" w:fill="FFFFFF"/>
        </w:rPr>
      </w:pPr>
      <w:r>
        <w:rPr>
          <w:rFonts w:hint="eastAsia" w:ascii="微软雅黑" w:hAnsi="微软雅黑" w:eastAsia="微软雅黑" w:cs="微软雅黑"/>
          <w:b/>
          <w:bCs/>
          <w:color w:val="000000"/>
          <w:shd w:val="clear" w:color="auto" w:fill="FFFFFF"/>
        </w:rPr>
        <w:t>附件：</w:t>
      </w:r>
    </w:p>
    <w:p w14:paraId="1DD71B3A">
      <w:pPr>
        <w:pStyle w:val="4"/>
        <w:widowControl/>
        <w:shd w:val="clear" w:color="auto" w:fill="FFFFFF"/>
        <w:spacing w:beforeAutospacing="0" w:afterAutospacing="0"/>
        <w:jc w:val="center"/>
        <w:rPr>
          <w:rFonts w:hint="eastAsia" w:ascii="微软雅黑" w:hAnsi="微软雅黑" w:eastAsia="微软雅黑" w:cs="微软雅黑"/>
          <w:color w:val="000000"/>
          <w:sz w:val="16"/>
          <w:szCs w:val="16"/>
          <w:highlight w:val="none"/>
        </w:rPr>
      </w:pPr>
      <w:r>
        <w:rPr>
          <w:rStyle w:val="8"/>
          <w:rFonts w:ascii="Calibri" w:hAnsi="Calibri" w:eastAsia="宋体" w:cs="Calibri"/>
          <w:color w:val="000000"/>
          <w:sz w:val="40"/>
          <w:szCs w:val="40"/>
          <w:highlight w:val="none"/>
          <w:shd w:val="clear" w:color="auto" w:fill="FFFFFF"/>
        </w:rPr>
        <w:t>2026</w:t>
      </w:r>
      <w:r>
        <w:rPr>
          <w:rStyle w:val="8"/>
          <w:rFonts w:hint="eastAsia" w:ascii="宋体" w:hAnsi="宋体" w:eastAsia="宋体" w:cs="宋体"/>
          <w:color w:val="000000"/>
          <w:sz w:val="40"/>
          <w:szCs w:val="40"/>
          <w:highlight w:val="none"/>
          <w:shd w:val="clear" w:color="auto" w:fill="FFFFFF"/>
        </w:rPr>
        <w:t>年内蒙古自治区科学技术奖公示内容</w:t>
      </w:r>
    </w:p>
    <w:p w14:paraId="03E3A09D">
      <w:pPr>
        <w:pStyle w:val="4"/>
        <w:widowControl/>
        <w:shd w:val="clear" w:color="auto" w:fill="FFFFFF"/>
        <w:spacing w:beforeAutospacing="0" w:afterAutospacing="0"/>
        <w:rPr>
          <w:rFonts w:hint="eastAsia" w:ascii="微软雅黑" w:hAnsi="微软雅黑" w:eastAsia="仿宋_GB2312" w:cs="微软雅黑"/>
          <w:color w:val="000000"/>
          <w:sz w:val="16"/>
          <w:szCs w:val="16"/>
          <w:highlight w:val="none"/>
        </w:rPr>
      </w:pPr>
      <w:r>
        <w:rPr>
          <w:rFonts w:ascii="仿宋_GB2312" w:hAnsi="仿宋_GB2312" w:eastAsia="仿宋_GB2312" w:cs="仿宋_GB2312"/>
          <w:color w:val="000000"/>
          <w:sz w:val="28"/>
          <w:szCs w:val="28"/>
          <w:highlight w:val="none"/>
          <w:shd w:val="clear" w:color="auto" w:fill="FFFFFF"/>
        </w:rPr>
        <w:t>一、</w:t>
      </w:r>
      <w:r>
        <w:rPr>
          <w:rFonts w:hint="eastAsia" w:ascii="仿宋_GB2312" w:hAnsi="仿宋_GB2312" w:eastAsia="仿宋_GB2312" w:cs="仿宋_GB2312"/>
          <w:color w:val="000000"/>
          <w:sz w:val="28"/>
          <w:szCs w:val="28"/>
          <w:highlight w:val="none"/>
          <w:shd w:val="clear" w:color="auto" w:fill="FFFFFF"/>
        </w:rPr>
        <w:t>项目名称：</w:t>
      </w:r>
      <w:r>
        <w:rPr>
          <w:rFonts w:ascii="仿宋_GB2312" w:hAnsi="仿宋_GB2312" w:eastAsia="仿宋_GB2312" w:cs="仿宋_GB2312"/>
          <w:color w:val="000000"/>
          <w:sz w:val="28"/>
          <w:szCs w:val="28"/>
          <w:highlight w:val="none"/>
          <w:shd w:val="clear" w:color="auto" w:fill="FFFFFF"/>
        </w:rPr>
        <w:t>骨盆骨折微创固定的数字化基础及无遮挡骨科手术机器人系统开发与应用</w:t>
      </w:r>
    </w:p>
    <w:p w14:paraId="056070DA">
      <w:pPr>
        <w:pStyle w:val="4"/>
        <w:widowControl/>
        <w:shd w:val="clear" w:color="auto" w:fill="FFFFFF"/>
        <w:spacing w:beforeAutospacing="0" w:afterAutospacing="0"/>
        <w:rPr>
          <w:rFonts w:hint="eastAsia" w:ascii="微软雅黑" w:hAnsi="微软雅黑" w:eastAsia="仿宋_GB2312" w:cs="微软雅黑"/>
          <w:color w:val="000000"/>
          <w:sz w:val="16"/>
          <w:szCs w:val="16"/>
          <w:highlight w:val="none"/>
        </w:rPr>
      </w:pPr>
      <w:r>
        <w:rPr>
          <w:rFonts w:hint="eastAsia" w:ascii="仿宋_GB2312" w:hAnsi="仿宋_GB2312" w:eastAsia="仿宋_GB2312" w:cs="仿宋_GB2312"/>
          <w:color w:val="000000"/>
          <w:sz w:val="28"/>
          <w:szCs w:val="28"/>
          <w:highlight w:val="none"/>
          <w:shd w:val="clear" w:color="auto" w:fill="FFFFFF"/>
        </w:rPr>
        <w:t>二、提名者：内蒙古医科大学</w:t>
      </w:r>
    </w:p>
    <w:p w14:paraId="254EFB89">
      <w:pPr>
        <w:pStyle w:val="4"/>
        <w:widowControl/>
        <w:shd w:val="clear" w:color="auto" w:fill="FFFFFF"/>
        <w:spacing w:beforeAutospacing="0" w:afterAutospacing="0"/>
        <w:rPr>
          <w:rFonts w:hint="eastAsia" w:ascii="微软雅黑" w:hAnsi="微软雅黑" w:eastAsia="微软雅黑" w:cs="微软雅黑"/>
          <w:color w:val="000000"/>
          <w:sz w:val="16"/>
          <w:szCs w:val="16"/>
          <w:highlight w:val="none"/>
        </w:rPr>
      </w:pPr>
      <w:r>
        <w:rPr>
          <w:rFonts w:hint="eastAsia" w:ascii="仿宋_GB2312" w:hAnsi="仿宋_GB2312" w:eastAsia="仿宋_GB2312" w:cs="仿宋_GB2312"/>
          <w:color w:val="000000"/>
          <w:sz w:val="28"/>
          <w:szCs w:val="28"/>
          <w:highlight w:val="none"/>
          <w:shd w:val="clear" w:color="auto" w:fill="FFFFFF"/>
        </w:rPr>
        <w:t>三、提名意见：</w:t>
      </w:r>
    </w:p>
    <w:p w14:paraId="7D7325D3">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_GB2312" w:hAnsi="仿宋_GB2312" w:eastAsia="仿宋_GB2312" w:cs="仿宋_GB2312"/>
          <w:color w:val="000000"/>
          <w:kern w:val="0"/>
          <w:sz w:val="28"/>
          <w:szCs w:val="28"/>
          <w:highlight w:val="none"/>
          <w:shd w:val="clear" w:color="auto" w:fill="FFFFFF"/>
          <w:lang w:val="en-US" w:eastAsia="zh-CN" w:bidi="ar-SA"/>
        </w:rPr>
      </w:pPr>
      <w:r>
        <w:rPr>
          <w:rFonts w:hint="eastAsia" w:ascii="仿宋_GB2312" w:hAnsi="仿宋_GB2312" w:eastAsia="仿宋_GB2312" w:cs="仿宋_GB2312"/>
          <w:color w:val="000000"/>
          <w:kern w:val="0"/>
          <w:sz w:val="28"/>
          <w:szCs w:val="28"/>
          <w:highlight w:val="none"/>
          <w:shd w:val="clear" w:color="auto" w:fill="FFFFFF"/>
          <w:lang w:val="en-US" w:eastAsia="zh-CN" w:bidi="ar-SA"/>
        </w:rPr>
        <w:t>该项目面向骨盆及髋臼骨折微创固定中螺钉通道规划困难、术中透视依赖强及机器人操作遮挡等临床难题，系统开展了骨盆骨折微创固定的数字化基础研究与无遮挡骨科手术机器人研发。项目融合人体解剖学、医学影像学、图形图像处理、有限元分析、3D打印及骨科微创技术，建立髋臼前、后柱顺行拉力螺钉个体化最优钉道规划与导航方法，提高了螺钉置入的准确性和安全性。在此基础上，研发具有双平面影像、快速术中规划、可透X线无遮挡工具端及“云台”微调功能的骨科手术机器人系统，无需额外配置术中CT，可实现骨盆骨折微创手术的精准辅助，并已完成临床应用验证。该项目具有明显的医工交叉创新特色，技术路线完整，成果具有较强的原创性、实用性和推广价值，对提升骨盆骨折微创治疗的数字化、智能化和精准化水平具有重要意义。经审核，提名材料真实有效。</w:t>
      </w:r>
    </w:p>
    <w:p w14:paraId="6FB487C2">
      <w:pPr>
        <w:pStyle w:val="4"/>
        <w:widowControl/>
        <w:shd w:val="clear" w:color="auto" w:fill="FFFFFF"/>
        <w:spacing w:beforeAutospacing="0" w:afterAutospacing="0"/>
        <w:rPr>
          <w:rFonts w:hint="eastAsia" w:ascii="微软雅黑" w:hAnsi="微软雅黑" w:eastAsia="微软雅黑" w:cs="微软雅黑"/>
          <w:color w:val="000000"/>
          <w:sz w:val="16"/>
          <w:szCs w:val="16"/>
          <w:highlight w:val="none"/>
        </w:rPr>
      </w:pPr>
      <w:r>
        <w:rPr>
          <w:rFonts w:hint="eastAsia" w:ascii="仿宋_GB2312" w:hAnsi="仿宋_GB2312" w:eastAsia="仿宋_GB2312" w:cs="仿宋_GB2312"/>
          <w:color w:val="000000"/>
          <w:sz w:val="28"/>
          <w:szCs w:val="28"/>
          <w:highlight w:val="none"/>
          <w:shd w:val="clear" w:color="auto" w:fill="FFFFFF"/>
        </w:rPr>
        <w:t>四、提名奖励类别及等级：</w:t>
      </w:r>
    </w:p>
    <w:p w14:paraId="63451F8F">
      <w:pPr>
        <w:pStyle w:val="4"/>
        <w:widowControl/>
        <w:shd w:val="clear" w:color="auto" w:fill="FFFFFF"/>
        <w:spacing w:beforeAutospacing="0" w:afterAutospacing="0"/>
        <w:rPr>
          <w:rFonts w:hint="eastAsia" w:ascii="仿宋_GB2312" w:hAnsi="仿宋_GB2312" w:eastAsia="仿宋_GB2312" w:cs="仿宋_GB2312"/>
          <w:color w:val="000000"/>
          <w:sz w:val="28"/>
          <w:szCs w:val="28"/>
          <w:highlight w:val="none"/>
          <w:shd w:val="clear" w:color="auto" w:fill="FFFFFF"/>
        </w:rPr>
      </w:pPr>
      <w:r>
        <w:rPr>
          <w:rFonts w:hint="eastAsia" w:ascii="仿宋_GB2312" w:hAnsi="仿宋_GB2312" w:eastAsia="仿宋_GB2312" w:cs="仿宋_GB2312"/>
          <w:color w:val="000000"/>
          <w:sz w:val="28"/>
          <w:szCs w:val="28"/>
          <w:highlight w:val="none"/>
          <w:shd w:val="clear" w:color="auto" w:fill="FFFFFF"/>
        </w:rPr>
        <w:t>科技进步奖 一等奖或二等奖</w:t>
      </w:r>
    </w:p>
    <w:p w14:paraId="03E2B6FE">
      <w:pPr>
        <w:pStyle w:val="4"/>
        <w:widowControl/>
        <w:shd w:val="clear" w:color="auto" w:fill="FFFFFF"/>
        <w:spacing w:beforeAutospacing="0" w:afterAutospacing="0"/>
        <w:rPr>
          <w:rFonts w:hint="eastAsia" w:ascii="仿宋_GB2312" w:hAnsi="仿宋_GB2312" w:eastAsia="仿宋_GB2312" w:cs="仿宋_GB2312"/>
          <w:color w:val="000000"/>
          <w:sz w:val="28"/>
          <w:szCs w:val="28"/>
          <w:highlight w:val="none"/>
          <w:shd w:val="clear" w:color="auto" w:fill="FFFFFF"/>
        </w:rPr>
      </w:pPr>
    </w:p>
    <w:p w14:paraId="34A710CB">
      <w:pPr>
        <w:pStyle w:val="4"/>
        <w:widowControl/>
        <w:shd w:val="clear" w:color="auto" w:fill="FFFFFF"/>
        <w:spacing w:beforeAutospacing="0" w:afterAutospacing="0"/>
        <w:rPr>
          <w:rFonts w:hint="eastAsia" w:ascii="微软雅黑" w:hAnsi="微软雅黑" w:eastAsia="微软雅黑" w:cs="微软雅黑"/>
          <w:color w:val="000000"/>
          <w:sz w:val="16"/>
          <w:szCs w:val="16"/>
          <w:highlight w:val="none"/>
        </w:rPr>
      </w:pPr>
      <w:r>
        <w:rPr>
          <w:rFonts w:hint="eastAsia" w:ascii="仿宋_GB2312" w:hAnsi="仿宋_GB2312" w:eastAsia="仿宋_GB2312" w:cs="仿宋_GB2312"/>
          <w:color w:val="000000"/>
          <w:sz w:val="28"/>
          <w:szCs w:val="28"/>
          <w:highlight w:val="none"/>
          <w:shd w:val="clear" w:color="auto" w:fill="FFFFFF"/>
        </w:rPr>
        <w:t>五、主要知识产权和标准规范等目录：</w:t>
      </w:r>
    </w:p>
    <w:tbl>
      <w:tblPr>
        <w:tblStyle w:val="6"/>
        <w:tblW w:w="93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9"/>
        <w:gridCol w:w="493"/>
        <w:gridCol w:w="1734"/>
        <w:gridCol w:w="1151"/>
        <w:gridCol w:w="1395"/>
        <w:gridCol w:w="1174"/>
        <w:gridCol w:w="1068"/>
        <w:gridCol w:w="741"/>
        <w:gridCol w:w="636"/>
        <w:gridCol w:w="493"/>
      </w:tblGrid>
      <w:tr w14:paraId="4F436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2" w:hRule="atLeast"/>
        </w:trPr>
        <w:tc>
          <w:tcPr>
            <w:tcW w:w="429" w:type="dxa"/>
            <w:vAlign w:val="center"/>
          </w:tcPr>
          <w:p w14:paraId="46126A3B">
            <w:pPr>
              <w:pStyle w:val="4"/>
              <w:widowControl/>
              <w:spacing w:beforeAutospacing="0" w:afterAutospacing="0"/>
              <w:jc w:val="center"/>
              <w:rPr>
                <w:highlight w:val="none"/>
              </w:rPr>
            </w:pPr>
            <w:r>
              <w:rPr>
                <w:rStyle w:val="8"/>
                <w:rFonts w:hint="eastAsia" w:ascii="宋体" w:hAnsi="宋体" w:eastAsia="宋体" w:cs="宋体"/>
                <w:color w:val="000000"/>
                <w:sz w:val="21"/>
                <w:szCs w:val="21"/>
                <w:highlight w:val="none"/>
              </w:rPr>
              <w:t>序号</w:t>
            </w:r>
          </w:p>
        </w:tc>
        <w:tc>
          <w:tcPr>
            <w:tcW w:w="493" w:type="dxa"/>
            <w:vAlign w:val="center"/>
          </w:tcPr>
          <w:p w14:paraId="4084F43C">
            <w:pPr>
              <w:pStyle w:val="4"/>
              <w:widowControl/>
              <w:spacing w:beforeAutospacing="0" w:afterAutospacing="0"/>
              <w:jc w:val="center"/>
              <w:rPr>
                <w:highlight w:val="none"/>
              </w:rPr>
            </w:pPr>
            <w:r>
              <w:rPr>
                <w:rStyle w:val="8"/>
                <w:rFonts w:hint="eastAsia" w:ascii="宋体" w:hAnsi="宋体" w:eastAsia="宋体" w:cs="宋体"/>
                <w:color w:val="000000"/>
                <w:sz w:val="21"/>
                <w:szCs w:val="21"/>
                <w:highlight w:val="none"/>
              </w:rPr>
              <w:t>知识产权</w:t>
            </w:r>
            <w:r>
              <w:rPr>
                <w:rStyle w:val="8"/>
                <w:rFonts w:ascii="Calibri" w:hAnsi="Calibri" w:eastAsia="宋体" w:cs="Calibri"/>
                <w:color w:val="000000"/>
                <w:sz w:val="21"/>
                <w:szCs w:val="21"/>
                <w:highlight w:val="none"/>
              </w:rPr>
              <w:t>(</w:t>
            </w:r>
            <w:r>
              <w:rPr>
                <w:rStyle w:val="8"/>
                <w:rFonts w:hint="eastAsia" w:ascii="宋体" w:hAnsi="宋体" w:eastAsia="宋体" w:cs="宋体"/>
                <w:color w:val="000000"/>
                <w:sz w:val="21"/>
                <w:szCs w:val="21"/>
                <w:highlight w:val="none"/>
              </w:rPr>
              <w:t>标准</w:t>
            </w:r>
            <w:r>
              <w:rPr>
                <w:rStyle w:val="8"/>
                <w:rFonts w:ascii="Calibri" w:hAnsi="Calibri" w:eastAsia="宋体" w:cs="Calibri"/>
                <w:color w:val="000000"/>
                <w:sz w:val="21"/>
                <w:szCs w:val="21"/>
                <w:highlight w:val="none"/>
              </w:rPr>
              <w:t>)</w:t>
            </w:r>
            <w:r>
              <w:rPr>
                <w:rStyle w:val="8"/>
                <w:rFonts w:hint="eastAsia" w:ascii="宋体" w:hAnsi="宋体" w:eastAsia="宋体" w:cs="宋体"/>
                <w:color w:val="000000"/>
                <w:sz w:val="21"/>
                <w:szCs w:val="21"/>
                <w:highlight w:val="none"/>
              </w:rPr>
              <w:t>类别</w:t>
            </w:r>
          </w:p>
        </w:tc>
        <w:tc>
          <w:tcPr>
            <w:tcW w:w="1734" w:type="dxa"/>
            <w:vAlign w:val="center"/>
          </w:tcPr>
          <w:p w14:paraId="17F0BE0E">
            <w:pPr>
              <w:pStyle w:val="4"/>
              <w:widowControl/>
              <w:spacing w:beforeAutospacing="0" w:afterAutospacing="0"/>
              <w:jc w:val="center"/>
              <w:rPr>
                <w:highlight w:val="none"/>
              </w:rPr>
            </w:pPr>
            <w:r>
              <w:rPr>
                <w:rStyle w:val="8"/>
                <w:rFonts w:hint="eastAsia" w:ascii="宋体" w:hAnsi="宋体" w:eastAsia="宋体" w:cs="宋体"/>
                <w:color w:val="000000"/>
                <w:sz w:val="21"/>
                <w:szCs w:val="21"/>
                <w:highlight w:val="none"/>
              </w:rPr>
              <w:t>知识产权</w:t>
            </w:r>
            <w:r>
              <w:rPr>
                <w:rStyle w:val="8"/>
                <w:rFonts w:ascii="Calibri" w:hAnsi="Calibri" w:eastAsia="宋体" w:cs="Calibri"/>
                <w:color w:val="000000"/>
                <w:sz w:val="21"/>
                <w:szCs w:val="21"/>
                <w:highlight w:val="none"/>
              </w:rPr>
              <w:t>(</w:t>
            </w:r>
            <w:r>
              <w:rPr>
                <w:rStyle w:val="8"/>
                <w:rFonts w:hint="eastAsia" w:ascii="宋体" w:hAnsi="宋体" w:eastAsia="宋体" w:cs="宋体"/>
                <w:color w:val="000000"/>
                <w:sz w:val="21"/>
                <w:szCs w:val="21"/>
                <w:highlight w:val="none"/>
              </w:rPr>
              <w:t>标准</w:t>
            </w:r>
            <w:r>
              <w:rPr>
                <w:rStyle w:val="8"/>
                <w:rFonts w:ascii="Calibri" w:hAnsi="Calibri" w:eastAsia="宋体" w:cs="Calibri"/>
                <w:color w:val="000000"/>
                <w:sz w:val="21"/>
                <w:szCs w:val="21"/>
                <w:highlight w:val="none"/>
              </w:rPr>
              <w:t>)</w:t>
            </w:r>
            <w:r>
              <w:rPr>
                <w:rStyle w:val="8"/>
                <w:rFonts w:hint="eastAsia" w:ascii="宋体" w:hAnsi="宋体" w:eastAsia="宋体" w:cs="宋体"/>
                <w:color w:val="000000"/>
                <w:sz w:val="21"/>
                <w:szCs w:val="21"/>
                <w:highlight w:val="none"/>
              </w:rPr>
              <w:t>具体名称</w:t>
            </w:r>
          </w:p>
        </w:tc>
        <w:tc>
          <w:tcPr>
            <w:tcW w:w="1151" w:type="dxa"/>
            <w:vAlign w:val="center"/>
          </w:tcPr>
          <w:p w14:paraId="0C0DCADA">
            <w:pPr>
              <w:pStyle w:val="4"/>
              <w:widowControl/>
              <w:spacing w:beforeAutospacing="0" w:afterAutospacing="0"/>
              <w:jc w:val="center"/>
              <w:rPr>
                <w:rFonts w:hint="eastAsia" w:ascii="微软雅黑" w:hAnsi="微软雅黑" w:eastAsia="微软雅黑" w:cs="微软雅黑"/>
                <w:highlight w:val="none"/>
              </w:rPr>
            </w:pPr>
            <w:r>
              <w:rPr>
                <w:rStyle w:val="8"/>
                <w:rFonts w:hint="eastAsia" w:ascii="宋体" w:hAnsi="宋体" w:eastAsia="宋体" w:cs="宋体"/>
                <w:color w:val="000000"/>
                <w:sz w:val="21"/>
                <w:szCs w:val="21"/>
                <w:highlight w:val="none"/>
              </w:rPr>
              <w:t>国家</w:t>
            </w:r>
          </w:p>
          <w:p w14:paraId="0DA821CD">
            <w:pPr>
              <w:pStyle w:val="4"/>
              <w:widowControl/>
              <w:spacing w:beforeAutospacing="0" w:afterAutospacing="0"/>
              <w:rPr>
                <w:highlight w:val="none"/>
              </w:rPr>
            </w:pPr>
            <w:r>
              <w:rPr>
                <w:rStyle w:val="8"/>
                <w:rFonts w:ascii="Calibri" w:hAnsi="Calibri" w:eastAsia="宋体" w:cs="Calibri"/>
                <w:color w:val="000000"/>
                <w:sz w:val="21"/>
                <w:szCs w:val="21"/>
                <w:highlight w:val="none"/>
              </w:rPr>
              <w:t>(</w:t>
            </w:r>
            <w:r>
              <w:rPr>
                <w:rStyle w:val="8"/>
                <w:rFonts w:hint="eastAsia" w:ascii="宋体" w:hAnsi="宋体" w:eastAsia="宋体" w:cs="宋体"/>
                <w:color w:val="000000"/>
                <w:sz w:val="21"/>
                <w:szCs w:val="21"/>
                <w:highlight w:val="none"/>
              </w:rPr>
              <w:t>地区</w:t>
            </w:r>
            <w:r>
              <w:rPr>
                <w:rStyle w:val="8"/>
                <w:rFonts w:ascii="Calibri" w:hAnsi="Calibri" w:eastAsia="宋体" w:cs="Calibri"/>
                <w:color w:val="000000"/>
                <w:sz w:val="21"/>
                <w:szCs w:val="21"/>
                <w:highlight w:val="none"/>
              </w:rPr>
              <w:t>)</w:t>
            </w:r>
          </w:p>
        </w:tc>
        <w:tc>
          <w:tcPr>
            <w:tcW w:w="1395" w:type="dxa"/>
            <w:vAlign w:val="center"/>
          </w:tcPr>
          <w:p w14:paraId="2EFE11A2">
            <w:pPr>
              <w:pStyle w:val="4"/>
              <w:widowControl/>
              <w:spacing w:beforeAutospacing="0" w:afterAutospacing="0"/>
              <w:jc w:val="center"/>
              <w:rPr>
                <w:rFonts w:hint="eastAsia" w:ascii="微软雅黑" w:hAnsi="微软雅黑" w:eastAsia="微软雅黑" w:cs="微软雅黑"/>
                <w:highlight w:val="none"/>
              </w:rPr>
            </w:pPr>
            <w:r>
              <w:rPr>
                <w:rStyle w:val="8"/>
                <w:rFonts w:hint="eastAsia" w:ascii="宋体" w:hAnsi="宋体" w:eastAsia="宋体" w:cs="宋体"/>
                <w:color w:val="000000"/>
                <w:sz w:val="21"/>
                <w:szCs w:val="21"/>
                <w:highlight w:val="none"/>
              </w:rPr>
              <w:t>授权号</w:t>
            </w:r>
          </w:p>
          <w:p w14:paraId="4D8FBFC4">
            <w:pPr>
              <w:pStyle w:val="4"/>
              <w:widowControl/>
              <w:spacing w:beforeAutospacing="0" w:afterAutospacing="0"/>
              <w:jc w:val="center"/>
              <w:rPr>
                <w:rFonts w:hint="eastAsia" w:ascii="微软雅黑" w:hAnsi="微软雅黑" w:eastAsia="微软雅黑" w:cs="微软雅黑"/>
                <w:highlight w:val="none"/>
              </w:rPr>
            </w:pPr>
            <w:r>
              <w:rPr>
                <w:rStyle w:val="8"/>
                <w:rFonts w:ascii="Calibri" w:hAnsi="Calibri" w:eastAsia="宋体" w:cs="Calibri"/>
                <w:color w:val="000000"/>
                <w:sz w:val="21"/>
                <w:szCs w:val="21"/>
                <w:highlight w:val="none"/>
              </w:rPr>
              <w:t>(</w:t>
            </w:r>
            <w:r>
              <w:rPr>
                <w:rStyle w:val="8"/>
                <w:rFonts w:hint="eastAsia" w:ascii="宋体" w:hAnsi="宋体" w:eastAsia="宋体" w:cs="宋体"/>
                <w:color w:val="000000"/>
                <w:sz w:val="21"/>
                <w:szCs w:val="21"/>
                <w:highlight w:val="none"/>
              </w:rPr>
              <w:t>标准</w:t>
            </w:r>
          </w:p>
          <w:p w14:paraId="2B76A137">
            <w:pPr>
              <w:pStyle w:val="4"/>
              <w:widowControl/>
              <w:spacing w:beforeAutospacing="0" w:afterAutospacing="0"/>
              <w:jc w:val="center"/>
              <w:rPr>
                <w:highlight w:val="none"/>
              </w:rPr>
            </w:pPr>
            <w:r>
              <w:rPr>
                <w:rStyle w:val="8"/>
                <w:rFonts w:hint="eastAsia" w:ascii="宋体" w:hAnsi="宋体" w:eastAsia="宋体" w:cs="宋体"/>
                <w:color w:val="000000"/>
                <w:sz w:val="21"/>
                <w:szCs w:val="21"/>
                <w:highlight w:val="none"/>
              </w:rPr>
              <w:t>编号</w:t>
            </w:r>
            <w:r>
              <w:rPr>
                <w:rStyle w:val="8"/>
                <w:rFonts w:ascii="Calibri" w:hAnsi="Calibri" w:eastAsia="宋体" w:cs="Calibri"/>
                <w:color w:val="000000"/>
                <w:sz w:val="21"/>
                <w:szCs w:val="21"/>
                <w:highlight w:val="none"/>
              </w:rPr>
              <w:t>)</w:t>
            </w:r>
          </w:p>
        </w:tc>
        <w:tc>
          <w:tcPr>
            <w:tcW w:w="1174" w:type="dxa"/>
            <w:vAlign w:val="center"/>
          </w:tcPr>
          <w:p w14:paraId="47A8B831">
            <w:pPr>
              <w:pStyle w:val="4"/>
              <w:widowControl/>
              <w:spacing w:beforeAutospacing="0" w:afterAutospacing="0"/>
              <w:jc w:val="center"/>
              <w:rPr>
                <w:highlight w:val="none"/>
              </w:rPr>
            </w:pPr>
            <w:r>
              <w:rPr>
                <w:rStyle w:val="8"/>
                <w:rFonts w:hint="eastAsia" w:ascii="宋体" w:hAnsi="宋体" w:eastAsia="宋体" w:cs="宋体"/>
                <w:color w:val="000000"/>
                <w:sz w:val="21"/>
                <w:szCs w:val="21"/>
                <w:highlight w:val="none"/>
              </w:rPr>
              <w:t>授权</w:t>
            </w:r>
            <w:r>
              <w:rPr>
                <w:rStyle w:val="8"/>
                <w:rFonts w:ascii="Calibri" w:hAnsi="Calibri" w:eastAsia="宋体" w:cs="Calibri"/>
                <w:color w:val="000000"/>
                <w:sz w:val="21"/>
                <w:szCs w:val="21"/>
                <w:highlight w:val="none"/>
              </w:rPr>
              <w:t>(</w:t>
            </w:r>
            <w:r>
              <w:rPr>
                <w:rStyle w:val="8"/>
                <w:rFonts w:hint="eastAsia" w:ascii="宋体" w:hAnsi="宋体" w:eastAsia="宋体" w:cs="宋体"/>
                <w:color w:val="000000"/>
                <w:sz w:val="21"/>
                <w:szCs w:val="21"/>
                <w:highlight w:val="none"/>
              </w:rPr>
              <w:t>标准发布日期</w:t>
            </w:r>
            <w:r>
              <w:rPr>
                <w:rStyle w:val="8"/>
                <w:rFonts w:ascii="Calibri" w:hAnsi="Calibri" w:eastAsia="宋体" w:cs="Calibri"/>
                <w:color w:val="000000"/>
                <w:sz w:val="21"/>
                <w:szCs w:val="21"/>
                <w:highlight w:val="none"/>
              </w:rPr>
              <w:t>)</w:t>
            </w:r>
          </w:p>
        </w:tc>
        <w:tc>
          <w:tcPr>
            <w:tcW w:w="1068" w:type="dxa"/>
            <w:vAlign w:val="center"/>
          </w:tcPr>
          <w:p w14:paraId="569E8CB8">
            <w:pPr>
              <w:pStyle w:val="4"/>
              <w:widowControl/>
              <w:spacing w:beforeAutospacing="0" w:afterAutospacing="0"/>
              <w:jc w:val="center"/>
              <w:rPr>
                <w:highlight w:val="none"/>
              </w:rPr>
            </w:pPr>
            <w:r>
              <w:rPr>
                <w:rStyle w:val="8"/>
                <w:rFonts w:hint="eastAsia" w:ascii="宋体" w:hAnsi="宋体" w:eastAsia="宋体" w:cs="宋体"/>
                <w:color w:val="000000"/>
                <w:sz w:val="21"/>
                <w:szCs w:val="21"/>
                <w:highlight w:val="none"/>
              </w:rPr>
              <w:t>证书编号</w:t>
            </w:r>
            <w:r>
              <w:rPr>
                <w:rStyle w:val="8"/>
                <w:rFonts w:ascii="Calibri" w:hAnsi="Calibri" w:eastAsia="宋体" w:cs="Calibri"/>
                <w:color w:val="000000"/>
                <w:sz w:val="21"/>
                <w:szCs w:val="21"/>
                <w:highlight w:val="none"/>
              </w:rPr>
              <w:t>(</w:t>
            </w:r>
            <w:r>
              <w:rPr>
                <w:rStyle w:val="8"/>
                <w:rFonts w:hint="eastAsia" w:ascii="宋体" w:hAnsi="宋体" w:eastAsia="宋体" w:cs="宋体"/>
                <w:color w:val="000000"/>
                <w:sz w:val="21"/>
                <w:szCs w:val="21"/>
                <w:highlight w:val="none"/>
              </w:rPr>
              <w:t>标准批准发布部门</w:t>
            </w:r>
            <w:r>
              <w:rPr>
                <w:rStyle w:val="8"/>
                <w:rFonts w:ascii="Calibri" w:hAnsi="Calibri" w:eastAsia="宋体" w:cs="Calibri"/>
                <w:color w:val="000000"/>
                <w:sz w:val="21"/>
                <w:szCs w:val="21"/>
                <w:highlight w:val="none"/>
              </w:rPr>
              <w:t>)</w:t>
            </w:r>
          </w:p>
        </w:tc>
        <w:tc>
          <w:tcPr>
            <w:tcW w:w="741" w:type="dxa"/>
            <w:vAlign w:val="center"/>
          </w:tcPr>
          <w:p w14:paraId="0360CFE9">
            <w:pPr>
              <w:pStyle w:val="4"/>
              <w:widowControl/>
              <w:spacing w:beforeAutospacing="0" w:afterAutospacing="0"/>
              <w:jc w:val="center"/>
              <w:rPr>
                <w:highlight w:val="none"/>
              </w:rPr>
            </w:pPr>
            <w:r>
              <w:rPr>
                <w:rStyle w:val="8"/>
                <w:rFonts w:hint="eastAsia" w:ascii="宋体" w:hAnsi="宋体" w:eastAsia="宋体" w:cs="宋体"/>
                <w:color w:val="000000"/>
                <w:sz w:val="21"/>
                <w:szCs w:val="21"/>
                <w:highlight w:val="none"/>
              </w:rPr>
              <w:t>权利人</w:t>
            </w:r>
            <w:r>
              <w:rPr>
                <w:rStyle w:val="8"/>
                <w:rFonts w:ascii="Calibri" w:hAnsi="Calibri" w:eastAsia="宋体" w:cs="Calibri"/>
                <w:color w:val="000000"/>
                <w:sz w:val="21"/>
                <w:szCs w:val="21"/>
                <w:highlight w:val="none"/>
              </w:rPr>
              <w:t>(</w:t>
            </w:r>
            <w:r>
              <w:rPr>
                <w:rStyle w:val="8"/>
                <w:rFonts w:hint="eastAsia" w:ascii="宋体" w:hAnsi="宋体" w:eastAsia="宋体" w:cs="宋体"/>
                <w:color w:val="000000"/>
                <w:sz w:val="21"/>
                <w:szCs w:val="21"/>
                <w:highlight w:val="none"/>
              </w:rPr>
              <w:t>标准起草单位</w:t>
            </w:r>
            <w:r>
              <w:rPr>
                <w:rStyle w:val="8"/>
                <w:rFonts w:ascii="Calibri" w:hAnsi="Calibri" w:eastAsia="宋体" w:cs="Calibri"/>
                <w:color w:val="000000"/>
                <w:sz w:val="21"/>
                <w:szCs w:val="21"/>
                <w:highlight w:val="none"/>
              </w:rPr>
              <w:t>)</w:t>
            </w:r>
          </w:p>
        </w:tc>
        <w:tc>
          <w:tcPr>
            <w:tcW w:w="636" w:type="dxa"/>
            <w:vAlign w:val="center"/>
          </w:tcPr>
          <w:p w14:paraId="0F0664EA">
            <w:pPr>
              <w:pStyle w:val="4"/>
              <w:widowControl/>
              <w:spacing w:beforeAutospacing="0" w:afterAutospacing="0"/>
              <w:jc w:val="center"/>
              <w:rPr>
                <w:highlight w:val="none"/>
              </w:rPr>
            </w:pPr>
            <w:r>
              <w:rPr>
                <w:rStyle w:val="8"/>
                <w:rFonts w:hint="eastAsia" w:ascii="宋体" w:hAnsi="宋体" w:eastAsia="宋体" w:cs="宋体"/>
                <w:color w:val="000000"/>
                <w:sz w:val="21"/>
                <w:szCs w:val="21"/>
                <w:highlight w:val="none"/>
              </w:rPr>
              <w:t>发明人</w:t>
            </w:r>
            <w:r>
              <w:rPr>
                <w:rStyle w:val="8"/>
                <w:rFonts w:ascii="Calibri" w:hAnsi="Calibri" w:eastAsia="宋体" w:cs="Calibri"/>
                <w:color w:val="000000"/>
                <w:sz w:val="21"/>
                <w:szCs w:val="21"/>
                <w:highlight w:val="none"/>
              </w:rPr>
              <w:t>(</w:t>
            </w:r>
            <w:r>
              <w:rPr>
                <w:rStyle w:val="8"/>
                <w:rFonts w:hint="eastAsia" w:ascii="宋体" w:hAnsi="宋体" w:eastAsia="宋体" w:cs="宋体"/>
                <w:color w:val="000000"/>
                <w:sz w:val="21"/>
                <w:szCs w:val="21"/>
                <w:highlight w:val="none"/>
              </w:rPr>
              <w:t>标准起草人</w:t>
            </w:r>
            <w:r>
              <w:rPr>
                <w:rStyle w:val="8"/>
                <w:rFonts w:ascii="Calibri" w:hAnsi="Calibri" w:eastAsia="宋体" w:cs="Calibri"/>
                <w:color w:val="000000"/>
                <w:sz w:val="21"/>
                <w:szCs w:val="21"/>
                <w:highlight w:val="none"/>
              </w:rPr>
              <w:t>)</w:t>
            </w:r>
          </w:p>
        </w:tc>
        <w:tc>
          <w:tcPr>
            <w:tcW w:w="493" w:type="dxa"/>
            <w:vAlign w:val="center"/>
          </w:tcPr>
          <w:p w14:paraId="5CBEDAFB">
            <w:pPr>
              <w:pStyle w:val="4"/>
              <w:widowControl/>
              <w:spacing w:beforeAutospacing="0" w:afterAutospacing="0"/>
              <w:jc w:val="center"/>
              <w:rPr>
                <w:highlight w:val="none"/>
              </w:rPr>
            </w:pPr>
            <w:r>
              <w:rPr>
                <w:rStyle w:val="8"/>
                <w:rFonts w:hint="eastAsia" w:ascii="宋体" w:hAnsi="宋体" w:eastAsia="宋体" w:cs="宋体"/>
                <w:color w:val="000000"/>
                <w:sz w:val="21"/>
                <w:szCs w:val="21"/>
                <w:highlight w:val="none"/>
              </w:rPr>
              <w:t>发明专利</w:t>
            </w:r>
            <w:r>
              <w:rPr>
                <w:rStyle w:val="8"/>
                <w:rFonts w:ascii="Calibri" w:hAnsi="Calibri" w:eastAsia="宋体" w:cs="Calibri"/>
                <w:color w:val="000000"/>
                <w:sz w:val="21"/>
                <w:szCs w:val="21"/>
                <w:highlight w:val="none"/>
              </w:rPr>
              <w:t>(</w:t>
            </w:r>
            <w:r>
              <w:rPr>
                <w:rStyle w:val="8"/>
                <w:rFonts w:hint="eastAsia" w:ascii="宋体" w:hAnsi="宋体" w:eastAsia="宋体" w:cs="宋体"/>
                <w:color w:val="000000"/>
                <w:sz w:val="21"/>
                <w:szCs w:val="21"/>
                <w:highlight w:val="none"/>
              </w:rPr>
              <w:t>标准</w:t>
            </w:r>
            <w:r>
              <w:rPr>
                <w:rStyle w:val="8"/>
                <w:rFonts w:ascii="Calibri" w:hAnsi="Calibri" w:eastAsia="宋体" w:cs="Calibri"/>
                <w:color w:val="000000"/>
                <w:sz w:val="21"/>
                <w:szCs w:val="21"/>
                <w:highlight w:val="none"/>
              </w:rPr>
              <w:t>)</w:t>
            </w:r>
            <w:r>
              <w:rPr>
                <w:rStyle w:val="8"/>
                <w:rFonts w:hint="eastAsia" w:ascii="宋体" w:hAnsi="宋体" w:eastAsia="宋体" w:cs="宋体"/>
                <w:color w:val="000000"/>
                <w:sz w:val="21"/>
                <w:szCs w:val="21"/>
                <w:highlight w:val="none"/>
              </w:rPr>
              <w:t>有效状态</w:t>
            </w:r>
          </w:p>
        </w:tc>
      </w:tr>
      <w:tr w14:paraId="47278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429" w:type="dxa"/>
          </w:tcPr>
          <w:p w14:paraId="7BD4A47B">
            <w:r>
              <w:rPr>
                <w:rFonts w:hint="eastAsia"/>
              </w:rPr>
              <w:t>1</w:t>
            </w:r>
          </w:p>
        </w:tc>
        <w:tc>
          <w:tcPr>
            <w:tcW w:w="493" w:type="dxa"/>
          </w:tcPr>
          <w:p w14:paraId="1741DFC0">
            <w:r>
              <w:rPr>
                <w:rFonts w:hint="eastAsia"/>
              </w:rPr>
              <w:t>论文</w:t>
            </w:r>
          </w:p>
        </w:tc>
        <w:tc>
          <w:tcPr>
            <w:tcW w:w="1734" w:type="dxa"/>
          </w:tcPr>
          <w:p w14:paraId="06C6E685">
            <w:r>
              <w:t>Unobstructed orthopaedic surgical robot assisted percutaneous iliosacral screw fixation of sacral brittle fractures</w:t>
            </w:r>
          </w:p>
        </w:tc>
        <w:tc>
          <w:tcPr>
            <w:tcW w:w="1151" w:type="dxa"/>
          </w:tcPr>
          <w:p w14:paraId="0B703D04">
            <w:r>
              <w:t>Front Med (Lausanne)</w:t>
            </w:r>
          </w:p>
        </w:tc>
        <w:tc>
          <w:tcPr>
            <w:tcW w:w="1395" w:type="dxa"/>
          </w:tcPr>
          <w:p w14:paraId="787974C5">
            <w:r>
              <w:rPr>
                <w:rFonts w:hint="eastAsia"/>
              </w:rPr>
              <w:t>-</w:t>
            </w:r>
          </w:p>
        </w:tc>
        <w:tc>
          <w:tcPr>
            <w:tcW w:w="1174" w:type="dxa"/>
          </w:tcPr>
          <w:p w14:paraId="6972F9DA">
            <w:r>
              <w:rPr>
                <w:rFonts w:hint="eastAsia"/>
              </w:rPr>
              <w:t>2023年11月</w:t>
            </w:r>
          </w:p>
        </w:tc>
        <w:tc>
          <w:tcPr>
            <w:tcW w:w="1068" w:type="dxa"/>
          </w:tcPr>
          <w:p w14:paraId="44208CD6">
            <w:r>
              <w:rPr>
                <w:rFonts w:hint="eastAsia"/>
              </w:rPr>
              <w:t>-</w:t>
            </w:r>
          </w:p>
        </w:tc>
        <w:tc>
          <w:tcPr>
            <w:tcW w:w="741" w:type="dxa"/>
          </w:tcPr>
          <w:p w14:paraId="3C4E9E8F">
            <w:r>
              <w:t>Hao XD, Zhang YZ, Wang SB, Liu G.</w:t>
            </w:r>
          </w:p>
        </w:tc>
        <w:tc>
          <w:tcPr>
            <w:tcW w:w="636" w:type="dxa"/>
          </w:tcPr>
          <w:p w14:paraId="50D89546">
            <w:r>
              <w:rPr>
                <w:rFonts w:hint="eastAsia"/>
              </w:rPr>
              <w:t>--</w:t>
            </w:r>
          </w:p>
        </w:tc>
        <w:tc>
          <w:tcPr>
            <w:tcW w:w="493" w:type="dxa"/>
          </w:tcPr>
          <w:p w14:paraId="62897F4B">
            <w:r>
              <w:rPr>
                <w:rFonts w:hint="eastAsia"/>
              </w:rPr>
              <w:t>-</w:t>
            </w:r>
          </w:p>
        </w:tc>
      </w:tr>
      <w:tr w14:paraId="55F8F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429" w:type="dxa"/>
          </w:tcPr>
          <w:p w14:paraId="68BBB1FE">
            <w:r>
              <w:rPr>
                <w:rFonts w:hint="eastAsia"/>
              </w:rPr>
              <w:t>2</w:t>
            </w:r>
          </w:p>
        </w:tc>
        <w:tc>
          <w:tcPr>
            <w:tcW w:w="493" w:type="dxa"/>
          </w:tcPr>
          <w:p w14:paraId="32C3980E">
            <w:r>
              <w:rPr>
                <w:rFonts w:hint="eastAsia"/>
              </w:rPr>
              <w:t>论文</w:t>
            </w:r>
          </w:p>
        </w:tc>
        <w:tc>
          <w:tcPr>
            <w:tcW w:w="1734" w:type="dxa"/>
          </w:tcPr>
          <w:p w14:paraId="7518DDF4">
            <w:r>
              <w:t>Different Lengths of Percutaneous Transverse Iliosacral Screw in Geometric Osseous Fixation Pathway: A Finite-Element Analysis</w:t>
            </w:r>
          </w:p>
        </w:tc>
        <w:tc>
          <w:tcPr>
            <w:tcW w:w="1151" w:type="dxa"/>
          </w:tcPr>
          <w:p w14:paraId="3B386DB6">
            <w:r>
              <w:t>Indian J Orthop</w:t>
            </w:r>
          </w:p>
        </w:tc>
        <w:tc>
          <w:tcPr>
            <w:tcW w:w="1395" w:type="dxa"/>
          </w:tcPr>
          <w:p w14:paraId="53DB3BF9">
            <w:r>
              <w:rPr>
                <w:rFonts w:hint="eastAsia"/>
              </w:rPr>
              <w:t>-</w:t>
            </w:r>
          </w:p>
        </w:tc>
        <w:tc>
          <w:tcPr>
            <w:tcW w:w="1174" w:type="dxa"/>
          </w:tcPr>
          <w:p w14:paraId="66C4A1EE">
            <w:r>
              <w:rPr>
                <w:rFonts w:hint="eastAsia"/>
              </w:rPr>
              <w:t>2022年6月</w:t>
            </w:r>
          </w:p>
        </w:tc>
        <w:tc>
          <w:tcPr>
            <w:tcW w:w="1068" w:type="dxa"/>
          </w:tcPr>
          <w:p w14:paraId="27611A6F">
            <w:r>
              <w:rPr>
                <w:rFonts w:hint="eastAsia"/>
              </w:rPr>
              <w:t>-</w:t>
            </w:r>
          </w:p>
        </w:tc>
        <w:tc>
          <w:tcPr>
            <w:tcW w:w="741" w:type="dxa"/>
          </w:tcPr>
          <w:p w14:paraId="376B63D6">
            <w:r>
              <w:t>Wu Q, Zhang Y, Wang S, Liu R, Liu G.</w:t>
            </w:r>
          </w:p>
        </w:tc>
        <w:tc>
          <w:tcPr>
            <w:tcW w:w="636" w:type="dxa"/>
          </w:tcPr>
          <w:p w14:paraId="3C886F07">
            <w:r>
              <w:rPr>
                <w:rFonts w:hint="eastAsia"/>
              </w:rPr>
              <w:t>-</w:t>
            </w:r>
          </w:p>
        </w:tc>
        <w:tc>
          <w:tcPr>
            <w:tcW w:w="493" w:type="dxa"/>
          </w:tcPr>
          <w:p w14:paraId="20C7F8CA">
            <w:r>
              <w:rPr>
                <w:rFonts w:hint="eastAsia"/>
              </w:rPr>
              <w:t>-</w:t>
            </w:r>
          </w:p>
        </w:tc>
      </w:tr>
      <w:tr w14:paraId="6B971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429" w:type="dxa"/>
          </w:tcPr>
          <w:p w14:paraId="03CF3B10">
            <w:r>
              <w:rPr>
                <w:rFonts w:hint="eastAsia"/>
              </w:rPr>
              <w:t>3</w:t>
            </w:r>
          </w:p>
        </w:tc>
        <w:tc>
          <w:tcPr>
            <w:tcW w:w="493" w:type="dxa"/>
          </w:tcPr>
          <w:p w14:paraId="4ABD5FD3">
            <w:r>
              <w:rPr>
                <w:rFonts w:hint="eastAsia"/>
              </w:rPr>
              <w:t>论文</w:t>
            </w:r>
          </w:p>
        </w:tc>
        <w:tc>
          <w:tcPr>
            <w:tcW w:w="1734" w:type="dxa"/>
          </w:tcPr>
          <w:p w14:paraId="3859EA77">
            <w:r>
              <w:t>Bi-planar fluoroscopic positioning robot assisting in percutaneous iliosacral screw fixation of sacrum fractures</w:t>
            </w:r>
          </w:p>
        </w:tc>
        <w:tc>
          <w:tcPr>
            <w:tcW w:w="1151" w:type="dxa"/>
          </w:tcPr>
          <w:p w14:paraId="5F7876FF">
            <w:r>
              <w:t>Asian J Surg</w:t>
            </w:r>
          </w:p>
        </w:tc>
        <w:tc>
          <w:tcPr>
            <w:tcW w:w="1395" w:type="dxa"/>
          </w:tcPr>
          <w:p w14:paraId="056805A5">
            <w:r>
              <w:rPr>
                <w:rFonts w:hint="eastAsia"/>
              </w:rPr>
              <w:t>-</w:t>
            </w:r>
          </w:p>
        </w:tc>
        <w:tc>
          <w:tcPr>
            <w:tcW w:w="1174" w:type="dxa"/>
          </w:tcPr>
          <w:p w14:paraId="3343B37A">
            <w:r>
              <w:rPr>
                <w:rFonts w:hint="eastAsia"/>
              </w:rPr>
              <w:t>2021年12月</w:t>
            </w:r>
          </w:p>
        </w:tc>
        <w:tc>
          <w:tcPr>
            <w:tcW w:w="1068" w:type="dxa"/>
          </w:tcPr>
          <w:p w14:paraId="7687B848">
            <w:r>
              <w:rPr>
                <w:rFonts w:hint="eastAsia"/>
              </w:rPr>
              <w:t>-</w:t>
            </w:r>
          </w:p>
        </w:tc>
        <w:tc>
          <w:tcPr>
            <w:tcW w:w="741" w:type="dxa"/>
          </w:tcPr>
          <w:p w14:paraId="607CB698">
            <w:r>
              <w:t>Gao L, Zhang Y, Zhao J, Liu G.</w:t>
            </w:r>
          </w:p>
        </w:tc>
        <w:tc>
          <w:tcPr>
            <w:tcW w:w="636" w:type="dxa"/>
          </w:tcPr>
          <w:p w14:paraId="2AEBCE1B">
            <w:r>
              <w:rPr>
                <w:rFonts w:hint="eastAsia"/>
              </w:rPr>
              <w:t>-</w:t>
            </w:r>
          </w:p>
        </w:tc>
        <w:tc>
          <w:tcPr>
            <w:tcW w:w="493" w:type="dxa"/>
          </w:tcPr>
          <w:p w14:paraId="7E2448C3">
            <w:r>
              <w:rPr>
                <w:rFonts w:hint="eastAsia"/>
              </w:rPr>
              <w:t>-</w:t>
            </w:r>
          </w:p>
        </w:tc>
      </w:tr>
      <w:tr w14:paraId="37D8B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429" w:type="dxa"/>
          </w:tcPr>
          <w:p w14:paraId="3EDE60C6">
            <w:r>
              <w:rPr>
                <w:rFonts w:hint="eastAsia"/>
              </w:rPr>
              <w:t>4</w:t>
            </w:r>
          </w:p>
        </w:tc>
        <w:tc>
          <w:tcPr>
            <w:tcW w:w="493" w:type="dxa"/>
          </w:tcPr>
          <w:p w14:paraId="19EBB04A">
            <w:r>
              <w:rPr>
                <w:rFonts w:hint="eastAsia"/>
              </w:rPr>
              <w:t>论文</w:t>
            </w:r>
          </w:p>
        </w:tc>
        <w:tc>
          <w:tcPr>
            <w:tcW w:w="1734" w:type="dxa"/>
          </w:tcPr>
          <w:p w14:paraId="52F1B324">
            <w:r>
              <w:t>髋臼前柱顺行拉力螺钉固定钉道的设计及有限元分析.</w:t>
            </w:r>
          </w:p>
        </w:tc>
        <w:tc>
          <w:tcPr>
            <w:tcW w:w="1151" w:type="dxa"/>
          </w:tcPr>
          <w:p w14:paraId="074B50CC">
            <w:r>
              <w:t>中华骨科杂志</w:t>
            </w:r>
          </w:p>
        </w:tc>
        <w:tc>
          <w:tcPr>
            <w:tcW w:w="1395" w:type="dxa"/>
          </w:tcPr>
          <w:p w14:paraId="5DD25186">
            <w:r>
              <w:rPr>
                <w:rFonts w:hint="eastAsia"/>
              </w:rPr>
              <w:t>-</w:t>
            </w:r>
          </w:p>
        </w:tc>
        <w:tc>
          <w:tcPr>
            <w:tcW w:w="1174" w:type="dxa"/>
          </w:tcPr>
          <w:p w14:paraId="7DB43DC2">
            <w:r>
              <w:rPr>
                <w:rFonts w:hint="eastAsia"/>
              </w:rPr>
              <w:t>2017.03.01</w:t>
            </w:r>
          </w:p>
        </w:tc>
        <w:tc>
          <w:tcPr>
            <w:tcW w:w="1068" w:type="dxa"/>
          </w:tcPr>
          <w:p w14:paraId="14F0318E">
            <w:r>
              <w:rPr>
                <w:rFonts w:hint="eastAsia"/>
              </w:rPr>
              <w:t>-</w:t>
            </w:r>
          </w:p>
        </w:tc>
        <w:tc>
          <w:tcPr>
            <w:tcW w:w="741" w:type="dxa"/>
          </w:tcPr>
          <w:p w14:paraId="4CED55D6">
            <w:r>
              <w:t xml:space="preserve">张立峰,张元智,华子恺,莫伟鹏 </w:t>
            </w:r>
            <w:r>
              <w:rPr>
                <w:rFonts w:hint="eastAsia"/>
              </w:rPr>
              <w:t>，</w:t>
            </w:r>
            <w:r>
              <w:t>贾燕飞.</w:t>
            </w:r>
          </w:p>
        </w:tc>
        <w:tc>
          <w:tcPr>
            <w:tcW w:w="636" w:type="dxa"/>
          </w:tcPr>
          <w:p w14:paraId="12F6D181">
            <w:r>
              <w:rPr>
                <w:rFonts w:hint="eastAsia"/>
              </w:rPr>
              <w:t>-</w:t>
            </w:r>
          </w:p>
        </w:tc>
        <w:tc>
          <w:tcPr>
            <w:tcW w:w="493" w:type="dxa"/>
          </w:tcPr>
          <w:p w14:paraId="1EFE2107">
            <w:r>
              <w:rPr>
                <w:rFonts w:hint="eastAsia"/>
              </w:rPr>
              <w:t>-</w:t>
            </w:r>
          </w:p>
        </w:tc>
      </w:tr>
      <w:tr w14:paraId="26E7D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429" w:type="dxa"/>
          </w:tcPr>
          <w:p w14:paraId="3347699B">
            <w:r>
              <w:rPr>
                <w:rFonts w:hint="eastAsia"/>
              </w:rPr>
              <w:t>5</w:t>
            </w:r>
          </w:p>
        </w:tc>
        <w:tc>
          <w:tcPr>
            <w:tcW w:w="493" w:type="dxa"/>
          </w:tcPr>
          <w:p w14:paraId="16D253E4">
            <w:r>
              <w:rPr>
                <w:rFonts w:hint="eastAsia"/>
              </w:rPr>
              <w:t>论文</w:t>
            </w:r>
          </w:p>
        </w:tc>
        <w:tc>
          <w:tcPr>
            <w:tcW w:w="1734" w:type="dxa"/>
          </w:tcPr>
          <w:p w14:paraId="67A8DB77">
            <w:r>
              <w:t>髋臼后柱顺行骨通道螺钉钉道的数字化分析与验证.,</w:t>
            </w:r>
          </w:p>
        </w:tc>
        <w:tc>
          <w:tcPr>
            <w:tcW w:w="1151" w:type="dxa"/>
          </w:tcPr>
          <w:p w14:paraId="62146085">
            <w:r>
              <w:t>中华创伤骨科杂志</w:t>
            </w:r>
          </w:p>
        </w:tc>
        <w:tc>
          <w:tcPr>
            <w:tcW w:w="1395" w:type="dxa"/>
          </w:tcPr>
          <w:p w14:paraId="26B203F4">
            <w:r>
              <w:rPr>
                <w:rFonts w:hint="eastAsia"/>
              </w:rPr>
              <w:t>-</w:t>
            </w:r>
          </w:p>
        </w:tc>
        <w:tc>
          <w:tcPr>
            <w:tcW w:w="1174" w:type="dxa"/>
          </w:tcPr>
          <w:p w14:paraId="3A27E3F8">
            <w:r>
              <w:rPr>
                <w:rFonts w:hint="eastAsia"/>
              </w:rPr>
              <w:t>2018.05.15</w:t>
            </w:r>
          </w:p>
        </w:tc>
        <w:tc>
          <w:tcPr>
            <w:tcW w:w="1068" w:type="dxa"/>
          </w:tcPr>
          <w:p w14:paraId="0B223787">
            <w:r>
              <w:rPr>
                <w:rFonts w:hint="eastAsia"/>
              </w:rPr>
              <w:t>-</w:t>
            </w:r>
          </w:p>
        </w:tc>
        <w:tc>
          <w:tcPr>
            <w:tcW w:w="741" w:type="dxa"/>
          </w:tcPr>
          <w:p w14:paraId="369A6D7B">
            <w:r>
              <w:t xml:space="preserve">张元智,刘刚,张立峰,莫伟鹏,徐志刚 </w:t>
            </w:r>
            <w:r>
              <w:rPr>
                <w:rFonts w:hint="eastAsia"/>
              </w:rPr>
              <w:t>，</w:t>
            </w:r>
            <w:r>
              <w:t>贾燕飞.</w:t>
            </w:r>
          </w:p>
        </w:tc>
        <w:tc>
          <w:tcPr>
            <w:tcW w:w="636" w:type="dxa"/>
          </w:tcPr>
          <w:p w14:paraId="39336095">
            <w:r>
              <w:rPr>
                <w:rFonts w:hint="eastAsia"/>
              </w:rPr>
              <w:t>-</w:t>
            </w:r>
          </w:p>
        </w:tc>
        <w:tc>
          <w:tcPr>
            <w:tcW w:w="493" w:type="dxa"/>
          </w:tcPr>
          <w:p w14:paraId="6814CD60">
            <w:r>
              <w:rPr>
                <w:rFonts w:hint="eastAsia"/>
              </w:rPr>
              <w:t>-</w:t>
            </w:r>
          </w:p>
        </w:tc>
      </w:tr>
      <w:tr w14:paraId="5A2E6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2" w:hRule="atLeast"/>
        </w:trPr>
        <w:tc>
          <w:tcPr>
            <w:tcW w:w="429" w:type="dxa"/>
          </w:tcPr>
          <w:p w14:paraId="33572077">
            <w:r>
              <w:rPr>
                <w:rFonts w:hint="eastAsia"/>
              </w:rPr>
              <w:t>6</w:t>
            </w:r>
          </w:p>
        </w:tc>
        <w:tc>
          <w:tcPr>
            <w:tcW w:w="493" w:type="dxa"/>
          </w:tcPr>
          <w:p w14:paraId="0A5E2027">
            <w:r>
              <w:rPr>
                <w:rFonts w:hint="eastAsia"/>
              </w:rPr>
              <w:t>专利</w:t>
            </w:r>
          </w:p>
        </w:tc>
        <w:tc>
          <w:tcPr>
            <w:tcW w:w="1734" w:type="dxa"/>
          </w:tcPr>
          <w:p w14:paraId="26190EF5">
            <w:r>
              <w:t>髋臼前柱顺行螺钉的钉道定位方法及系统</w:t>
            </w:r>
          </w:p>
        </w:tc>
        <w:tc>
          <w:tcPr>
            <w:tcW w:w="1151" w:type="dxa"/>
          </w:tcPr>
          <w:p w14:paraId="375C5462">
            <w:r>
              <w:t>上海市</w:t>
            </w:r>
          </w:p>
        </w:tc>
        <w:tc>
          <w:tcPr>
            <w:tcW w:w="1395" w:type="dxa"/>
          </w:tcPr>
          <w:p w14:paraId="36A402D5">
            <w:r>
              <w:rPr>
                <w:rFonts w:hint="eastAsia"/>
              </w:rPr>
              <w:t>CN 1064008652B</w:t>
            </w:r>
          </w:p>
        </w:tc>
        <w:tc>
          <w:tcPr>
            <w:tcW w:w="1174" w:type="dxa"/>
          </w:tcPr>
          <w:p w14:paraId="70E7FA2E">
            <w:r>
              <w:rPr>
                <w:rFonts w:hint="eastAsia"/>
              </w:rPr>
              <w:t>2021.03.12</w:t>
            </w:r>
          </w:p>
        </w:tc>
        <w:tc>
          <w:tcPr>
            <w:tcW w:w="1068" w:type="dxa"/>
          </w:tcPr>
          <w:p w14:paraId="34C8AA69">
            <w:r>
              <w:rPr>
                <w:rFonts w:hint="eastAsia"/>
              </w:rPr>
              <w:t>4294619</w:t>
            </w:r>
          </w:p>
        </w:tc>
        <w:tc>
          <w:tcPr>
            <w:tcW w:w="741" w:type="dxa"/>
          </w:tcPr>
          <w:p w14:paraId="04989D61">
            <w:r>
              <w:rPr>
                <w:rFonts w:hint="eastAsia"/>
              </w:rPr>
              <w:t>上海逸动医学科技有限公司</w:t>
            </w:r>
          </w:p>
        </w:tc>
        <w:tc>
          <w:tcPr>
            <w:tcW w:w="636" w:type="dxa"/>
          </w:tcPr>
          <w:p w14:paraId="52BF78FC">
            <w:r>
              <w:t>张元智,王少白.</w:t>
            </w:r>
          </w:p>
        </w:tc>
        <w:tc>
          <w:tcPr>
            <w:tcW w:w="493" w:type="dxa"/>
          </w:tcPr>
          <w:p w14:paraId="32DCC11C">
            <w:r>
              <w:rPr>
                <w:rFonts w:hint="eastAsia"/>
              </w:rPr>
              <w:t>有效</w:t>
            </w:r>
          </w:p>
        </w:tc>
      </w:tr>
      <w:tr w14:paraId="7FACA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429" w:type="dxa"/>
          </w:tcPr>
          <w:p w14:paraId="15B9CD95">
            <w:r>
              <w:rPr>
                <w:rFonts w:hint="eastAsia"/>
              </w:rPr>
              <w:t>7</w:t>
            </w:r>
          </w:p>
        </w:tc>
        <w:tc>
          <w:tcPr>
            <w:tcW w:w="493" w:type="dxa"/>
          </w:tcPr>
          <w:p w14:paraId="05C47E23">
            <w:r>
              <w:rPr>
                <w:rFonts w:hint="eastAsia"/>
              </w:rPr>
              <w:t>专利</w:t>
            </w:r>
          </w:p>
        </w:tc>
        <w:tc>
          <w:tcPr>
            <w:tcW w:w="1734" w:type="dxa"/>
          </w:tcPr>
          <w:p w14:paraId="597AF3FE">
            <w:r>
              <w:t>骶髂关节置入螺钉固定S1椎体的通道定位方法及系统</w:t>
            </w:r>
          </w:p>
        </w:tc>
        <w:tc>
          <w:tcPr>
            <w:tcW w:w="1151" w:type="dxa"/>
          </w:tcPr>
          <w:p w14:paraId="0AB4714B">
            <w:r>
              <w:t>上海市</w:t>
            </w:r>
          </w:p>
        </w:tc>
        <w:tc>
          <w:tcPr>
            <w:tcW w:w="1395" w:type="dxa"/>
          </w:tcPr>
          <w:p w14:paraId="0BD06551">
            <w:r>
              <w:rPr>
                <w:rFonts w:hint="eastAsia"/>
              </w:rPr>
              <w:t>CN 106236260B</w:t>
            </w:r>
          </w:p>
        </w:tc>
        <w:tc>
          <w:tcPr>
            <w:tcW w:w="1174" w:type="dxa"/>
          </w:tcPr>
          <w:p w14:paraId="7263E54B">
            <w:r>
              <w:rPr>
                <w:rFonts w:hint="eastAsia"/>
              </w:rPr>
              <w:t>2021.03.12</w:t>
            </w:r>
          </w:p>
        </w:tc>
        <w:tc>
          <w:tcPr>
            <w:tcW w:w="1068" w:type="dxa"/>
          </w:tcPr>
          <w:p w14:paraId="4E685B00">
            <w:r>
              <w:rPr>
                <w:rFonts w:hint="eastAsia"/>
              </w:rPr>
              <w:t>4294618</w:t>
            </w:r>
          </w:p>
        </w:tc>
        <w:tc>
          <w:tcPr>
            <w:tcW w:w="741" w:type="dxa"/>
          </w:tcPr>
          <w:p w14:paraId="6D11C0AC">
            <w:r>
              <w:rPr>
                <w:rFonts w:hint="eastAsia"/>
              </w:rPr>
              <w:t>上海逸动医学科技有限公司</w:t>
            </w:r>
          </w:p>
        </w:tc>
        <w:tc>
          <w:tcPr>
            <w:tcW w:w="636" w:type="dxa"/>
          </w:tcPr>
          <w:p w14:paraId="03305F3A">
            <w:r>
              <w:t>张元智,王少白</w:t>
            </w:r>
          </w:p>
        </w:tc>
        <w:tc>
          <w:tcPr>
            <w:tcW w:w="493" w:type="dxa"/>
          </w:tcPr>
          <w:p w14:paraId="6C3BF476">
            <w:r>
              <w:rPr>
                <w:rFonts w:hint="eastAsia"/>
              </w:rPr>
              <w:t>有效</w:t>
            </w:r>
          </w:p>
        </w:tc>
      </w:tr>
      <w:tr w14:paraId="3443F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2" w:hRule="atLeast"/>
        </w:trPr>
        <w:tc>
          <w:tcPr>
            <w:tcW w:w="429" w:type="dxa"/>
          </w:tcPr>
          <w:p w14:paraId="33DB09E6">
            <w:r>
              <w:rPr>
                <w:rFonts w:hint="eastAsia"/>
              </w:rPr>
              <w:t>8</w:t>
            </w:r>
          </w:p>
        </w:tc>
        <w:tc>
          <w:tcPr>
            <w:tcW w:w="493" w:type="dxa"/>
          </w:tcPr>
          <w:p w14:paraId="2DE163F8">
            <w:r>
              <w:rPr>
                <w:rFonts w:hint="eastAsia"/>
              </w:rPr>
              <w:t>专利</w:t>
            </w:r>
          </w:p>
        </w:tc>
        <w:tc>
          <w:tcPr>
            <w:tcW w:w="1734" w:type="dxa"/>
          </w:tcPr>
          <w:p w14:paraId="7743690F">
            <w:r>
              <w:t>骶髂关节置入螺钉固定S2椎体的通道定位方法及系统</w:t>
            </w:r>
          </w:p>
        </w:tc>
        <w:tc>
          <w:tcPr>
            <w:tcW w:w="1151" w:type="dxa"/>
          </w:tcPr>
          <w:p w14:paraId="738D1B0B">
            <w:r>
              <w:t>上海市</w:t>
            </w:r>
          </w:p>
        </w:tc>
        <w:tc>
          <w:tcPr>
            <w:tcW w:w="1395" w:type="dxa"/>
          </w:tcPr>
          <w:p w14:paraId="72565584">
            <w:r>
              <w:rPr>
                <w:rFonts w:hint="eastAsia"/>
              </w:rPr>
              <w:t>CN 106420053B</w:t>
            </w:r>
          </w:p>
        </w:tc>
        <w:tc>
          <w:tcPr>
            <w:tcW w:w="1174" w:type="dxa"/>
          </w:tcPr>
          <w:p w14:paraId="4126DBC9">
            <w:r>
              <w:rPr>
                <w:rFonts w:hint="eastAsia"/>
              </w:rPr>
              <w:t>2020.08.07</w:t>
            </w:r>
          </w:p>
        </w:tc>
        <w:tc>
          <w:tcPr>
            <w:tcW w:w="1068" w:type="dxa"/>
          </w:tcPr>
          <w:p w14:paraId="456B1743">
            <w:r>
              <w:rPr>
                <w:rFonts w:hint="eastAsia"/>
              </w:rPr>
              <w:t>3929296</w:t>
            </w:r>
          </w:p>
        </w:tc>
        <w:tc>
          <w:tcPr>
            <w:tcW w:w="741" w:type="dxa"/>
          </w:tcPr>
          <w:p w14:paraId="4CE6A15B">
            <w:r>
              <w:rPr>
                <w:rFonts w:hint="eastAsia"/>
              </w:rPr>
              <w:t>上海逸动医学科技有限公司</w:t>
            </w:r>
          </w:p>
        </w:tc>
        <w:tc>
          <w:tcPr>
            <w:tcW w:w="636" w:type="dxa"/>
          </w:tcPr>
          <w:p w14:paraId="754DA87A">
            <w:r>
              <w:t>张元智,王少白</w:t>
            </w:r>
          </w:p>
        </w:tc>
        <w:tc>
          <w:tcPr>
            <w:tcW w:w="493" w:type="dxa"/>
          </w:tcPr>
          <w:p w14:paraId="44D65DBC">
            <w:r>
              <w:rPr>
                <w:rFonts w:hint="eastAsia"/>
              </w:rPr>
              <w:t>有效</w:t>
            </w:r>
          </w:p>
        </w:tc>
      </w:tr>
      <w:tr w14:paraId="18767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429" w:type="dxa"/>
          </w:tcPr>
          <w:p w14:paraId="3C8AF7C5">
            <w:r>
              <w:rPr>
                <w:rFonts w:hint="eastAsia"/>
              </w:rPr>
              <w:t>9</w:t>
            </w:r>
          </w:p>
        </w:tc>
        <w:tc>
          <w:tcPr>
            <w:tcW w:w="493" w:type="dxa"/>
          </w:tcPr>
          <w:p w14:paraId="3E3D1F55">
            <w:r>
              <w:rPr>
                <w:rFonts w:hint="eastAsia"/>
              </w:rPr>
              <w:t>专利</w:t>
            </w:r>
          </w:p>
        </w:tc>
        <w:tc>
          <w:tcPr>
            <w:tcW w:w="1734" w:type="dxa"/>
          </w:tcPr>
          <w:p w14:paraId="70EF1DD3">
            <w:r>
              <w:t>一种医用手术机器人及其可微调定位的工具端</w:t>
            </w:r>
          </w:p>
        </w:tc>
        <w:tc>
          <w:tcPr>
            <w:tcW w:w="1151" w:type="dxa"/>
          </w:tcPr>
          <w:p w14:paraId="6E3A9944">
            <w:r>
              <w:t>呼和浩特市</w:t>
            </w:r>
          </w:p>
        </w:tc>
        <w:tc>
          <w:tcPr>
            <w:tcW w:w="1395" w:type="dxa"/>
          </w:tcPr>
          <w:p w14:paraId="3C37870A">
            <w:r>
              <w:rPr>
                <w:rFonts w:hint="eastAsia"/>
              </w:rPr>
              <w:t>CN 211187517U</w:t>
            </w:r>
          </w:p>
        </w:tc>
        <w:tc>
          <w:tcPr>
            <w:tcW w:w="1174" w:type="dxa"/>
          </w:tcPr>
          <w:p w14:paraId="07982B5A">
            <w:r>
              <w:rPr>
                <w:rFonts w:hint="eastAsia"/>
              </w:rPr>
              <w:t>2020.08.07</w:t>
            </w:r>
          </w:p>
        </w:tc>
        <w:tc>
          <w:tcPr>
            <w:tcW w:w="1068" w:type="dxa"/>
          </w:tcPr>
          <w:p w14:paraId="219BD02A">
            <w:r>
              <w:rPr>
                <w:rFonts w:hint="eastAsia"/>
              </w:rPr>
              <w:t>11172796</w:t>
            </w:r>
          </w:p>
        </w:tc>
        <w:tc>
          <w:tcPr>
            <w:tcW w:w="741" w:type="dxa"/>
          </w:tcPr>
          <w:p w14:paraId="1D8BCAC1">
            <w:r>
              <w:rPr>
                <w:rFonts w:hint="eastAsia"/>
              </w:rPr>
              <w:t>内蒙古医科大学附属医院；上海逸动医学科技有限公司</w:t>
            </w:r>
          </w:p>
        </w:tc>
        <w:tc>
          <w:tcPr>
            <w:tcW w:w="636" w:type="dxa"/>
          </w:tcPr>
          <w:p w14:paraId="2ED23E63">
            <w:r>
              <w:t>张元智，王少白，刘刚，兰天，陈冷</w:t>
            </w:r>
          </w:p>
        </w:tc>
        <w:tc>
          <w:tcPr>
            <w:tcW w:w="493" w:type="dxa"/>
          </w:tcPr>
          <w:p w14:paraId="456A208F">
            <w:r>
              <w:rPr>
                <w:rFonts w:hint="eastAsia"/>
              </w:rPr>
              <w:t>-</w:t>
            </w:r>
          </w:p>
        </w:tc>
      </w:tr>
    </w:tbl>
    <w:p w14:paraId="6485B00D">
      <w:pPr>
        <w:numPr>
          <w:ilvl w:val="0"/>
          <w:numId w:val="1"/>
        </w:numPr>
        <w:rPr>
          <w:rFonts w:hint="eastAsia" w:ascii="仿宋_GB2312" w:hAnsi="仿宋_GB2312" w:eastAsia="仿宋_GB2312" w:cs="仿宋_GB2312"/>
          <w:color w:val="000000"/>
          <w:sz w:val="28"/>
          <w:szCs w:val="28"/>
          <w:shd w:val="clear" w:color="auto" w:fill="FFFFFF"/>
        </w:rPr>
      </w:pPr>
      <w:r>
        <w:rPr>
          <w:rFonts w:ascii="仿宋_GB2312" w:hAnsi="仿宋_GB2312" w:eastAsia="仿宋_GB2312" w:cs="仿宋_GB2312"/>
          <w:color w:val="000000"/>
          <w:sz w:val="28"/>
          <w:szCs w:val="28"/>
          <w:highlight w:val="yellow"/>
          <w:shd w:val="clear" w:color="auto" w:fill="FFFFFF"/>
        </w:rPr>
        <w:t>主要完成人及排序</w:t>
      </w:r>
      <w:r>
        <w:rPr>
          <w:rFonts w:ascii="仿宋_GB2312" w:hAnsi="仿宋_GB2312" w:eastAsia="仿宋_GB2312" w:cs="仿宋_GB2312"/>
          <w:color w:val="000000"/>
          <w:sz w:val="28"/>
          <w:szCs w:val="28"/>
          <w:shd w:val="clear" w:color="auto" w:fill="FFFFFF"/>
        </w:rPr>
        <w:t>（指所有完成人，主要内容包括：排名、姓名、技术职称、工作单位、完成单位、对本项目重要科学发现的贡献）：</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0"/>
        <w:gridCol w:w="1300"/>
        <w:gridCol w:w="1300"/>
        <w:gridCol w:w="1300"/>
        <w:gridCol w:w="1306"/>
        <w:gridCol w:w="2016"/>
      </w:tblGrid>
      <w:tr w14:paraId="78ADD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0" w:type="dxa"/>
            <w:vAlign w:val="center"/>
          </w:tcPr>
          <w:p w14:paraId="7AF170D2">
            <w:pPr>
              <w:pStyle w:val="4"/>
              <w:widowControl/>
              <w:spacing w:beforeAutospacing="0" w:afterAutospacing="0"/>
              <w:jc w:val="center"/>
              <w:rPr>
                <w:rFonts w:hint="eastAsia" w:ascii="仿宋_GB2312" w:hAnsi="仿宋_GB2312" w:eastAsia="仿宋_GB2312" w:cs="仿宋_GB2312"/>
                <w:color w:val="000000"/>
                <w:sz w:val="28"/>
                <w:szCs w:val="28"/>
                <w:shd w:val="clear" w:color="auto" w:fill="FFFFFF"/>
              </w:rPr>
            </w:pPr>
            <w:r>
              <w:rPr>
                <w:rFonts w:ascii="仿宋" w:hAnsi="仿宋" w:eastAsia="仿宋" w:cs="仿宋"/>
                <w:color w:val="000000"/>
              </w:rPr>
              <w:t>排名</w:t>
            </w:r>
          </w:p>
        </w:tc>
        <w:tc>
          <w:tcPr>
            <w:tcW w:w="1300" w:type="dxa"/>
            <w:vAlign w:val="center"/>
          </w:tcPr>
          <w:p w14:paraId="7A04D082">
            <w:pPr>
              <w:pStyle w:val="4"/>
              <w:widowControl/>
              <w:spacing w:beforeAutospacing="0" w:afterAutospacing="0"/>
              <w:jc w:val="center"/>
              <w:rPr>
                <w:rFonts w:hint="eastAsia" w:ascii="仿宋_GB2312" w:hAnsi="仿宋_GB2312" w:eastAsia="仿宋_GB2312" w:cs="仿宋_GB2312"/>
                <w:color w:val="000000"/>
                <w:sz w:val="28"/>
                <w:szCs w:val="28"/>
                <w:shd w:val="clear" w:color="auto" w:fill="FFFFFF"/>
              </w:rPr>
            </w:pPr>
            <w:r>
              <w:rPr>
                <w:rFonts w:hint="eastAsia" w:ascii="仿宋" w:hAnsi="仿宋" w:eastAsia="仿宋" w:cs="仿宋"/>
                <w:color w:val="000000"/>
              </w:rPr>
              <w:t>姓名</w:t>
            </w:r>
          </w:p>
        </w:tc>
        <w:tc>
          <w:tcPr>
            <w:tcW w:w="1300" w:type="dxa"/>
            <w:vAlign w:val="center"/>
          </w:tcPr>
          <w:p w14:paraId="4D0757F5">
            <w:pPr>
              <w:pStyle w:val="4"/>
              <w:widowControl/>
              <w:spacing w:beforeAutospacing="0" w:afterAutospacing="0"/>
              <w:jc w:val="center"/>
              <w:rPr>
                <w:rFonts w:hint="eastAsia" w:ascii="仿宋_GB2312" w:hAnsi="仿宋_GB2312" w:eastAsia="仿宋_GB2312" w:cs="仿宋_GB2312"/>
                <w:color w:val="000000"/>
                <w:sz w:val="28"/>
                <w:szCs w:val="28"/>
                <w:shd w:val="clear" w:color="auto" w:fill="FFFFFF"/>
              </w:rPr>
            </w:pPr>
            <w:r>
              <w:rPr>
                <w:rFonts w:hint="eastAsia" w:ascii="仿宋" w:hAnsi="仿宋" w:eastAsia="仿宋" w:cs="仿宋"/>
                <w:color w:val="000000"/>
              </w:rPr>
              <w:t>技术职称</w:t>
            </w:r>
          </w:p>
        </w:tc>
        <w:tc>
          <w:tcPr>
            <w:tcW w:w="1300" w:type="dxa"/>
            <w:vAlign w:val="center"/>
          </w:tcPr>
          <w:p w14:paraId="56E27594">
            <w:pPr>
              <w:pStyle w:val="4"/>
              <w:widowControl/>
              <w:spacing w:beforeAutospacing="0" w:afterAutospacing="0"/>
              <w:jc w:val="center"/>
              <w:rPr>
                <w:rFonts w:hint="eastAsia" w:ascii="仿宋_GB2312" w:hAnsi="仿宋_GB2312" w:eastAsia="仿宋_GB2312" w:cs="仿宋_GB2312"/>
                <w:color w:val="000000"/>
                <w:sz w:val="28"/>
                <w:szCs w:val="28"/>
                <w:shd w:val="clear" w:color="auto" w:fill="FFFFFF"/>
              </w:rPr>
            </w:pPr>
            <w:r>
              <w:rPr>
                <w:rFonts w:hint="eastAsia" w:ascii="仿宋" w:hAnsi="仿宋" w:eastAsia="仿宋" w:cs="仿宋"/>
                <w:color w:val="000000"/>
              </w:rPr>
              <w:t>工作单位</w:t>
            </w:r>
          </w:p>
        </w:tc>
        <w:tc>
          <w:tcPr>
            <w:tcW w:w="1306" w:type="dxa"/>
          </w:tcPr>
          <w:p w14:paraId="108E63AD">
            <w:pPr>
              <w:pStyle w:val="4"/>
              <w:widowControl/>
              <w:spacing w:beforeAutospacing="0" w:afterAutospacing="0"/>
              <w:jc w:val="center"/>
              <w:rPr>
                <w:rFonts w:hint="eastAsia" w:ascii="仿宋_GB2312" w:hAnsi="仿宋_GB2312" w:eastAsia="仿宋_GB2312" w:cs="仿宋_GB2312"/>
                <w:color w:val="000000"/>
                <w:sz w:val="28"/>
                <w:szCs w:val="28"/>
                <w:shd w:val="clear" w:color="auto" w:fill="FFFFFF"/>
              </w:rPr>
            </w:pPr>
            <w:r>
              <w:rPr>
                <w:rFonts w:ascii="仿宋_GB2312" w:hAnsi="仿宋_GB2312" w:eastAsia="仿宋_GB2312" w:cs="仿宋_GB2312"/>
                <w:color w:val="000000"/>
                <w:sz w:val="28"/>
                <w:szCs w:val="28"/>
              </w:rPr>
              <w:t>完成单位</w:t>
            </w:r>
          </w:p>
        </w:tc>
        <w:tc>
          <w:tcPr>
            <w:tcW w:w="2016" w:type="dxa"/>
            <w:vAlign w:val="center"/>
          </w:tcPr>
          <w:p w14:paraId="69476069">
            <w:pPr>
              <w:pStyle w:val="4"/>
              <w:widowControl/>
              <w:spacing w:beforeAutospacing="0" w:afterAutospacing="0"/>
              <w:jc w:val="center"/>
              <w:rPr>
                <w:rFonts w:hint="eastAsia" w:ascii="仿宋_GB2312" w:hAnsi="仿宋_GB2312" w:eastAsia="仿宋_GB2312" w:cs="仿宋_GB2312"/>
                <w:color w:val="000000"/>
                <w:sz w:val="28"/>
                <w:szCs w:val="28"/>
                <w:shd w:val="clear" w:color="auto" w:fill="FFFFFF"/>
              </w:rPr>
            </w:pPr>
            <w:r>
              <w:rPr>
                <w:rFonts w:hint="eastAsia" w:ascii="仿宋" w:hAnsi="仿宋" w:eastAsia="仿宋" w:cs="仿宋"/>
                <w:color w:val="000000"/>
              </w:rPr>
              <w:t>对本项目的贡献</w:t>
            </w:r>
          </w:p>
        </w:tc>
      </w:tr>
      <w:tr w14:paraId="41CAB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0" w:type="dxa"/>
          </w:tcPr>
          <w:p w14:paraId="2053C34A">
            <w:pPr>
              <w:rPr>
                <w:rFonts w:hint="eastAsia" w:ascii="仿宋_GB2312" w:hAnsi="仿宋_GB2312" w:eastAsia="仿宋_GB2312" w:cs="仿宋_GB2312"/>
                <w:color w:val="000000"/>
                <w:sz w:val="28"/>
                <w:szCs w:val="28"/>
                <w:shd w:val="clear" w:color="auto" w:fill="FFFFFF"/>
              </w:rPr>
            </w:pPr>
          </w:p>
        </w:tc>
        <w:tc>
          <w:tcPr>
            <w:tcW w:w="1300" w:type="dxa"/>
          </w:tcPr>
          <w:p w14:paraId="70C3A573">
            <w:pPr>
              <w:rPr>
                <w:rFonts w:hint="eastAsia" w:ascii="仿宋_GB2312" w:hAnsi="仿宋_GB2312" w:eastAsia="仿宋_GB2312" w:cs="仿宋_GB2312"/>
                <w:color w:val="000000"/>
                <w:sz w:val="28"/>
                <w:szCs w:val="28"/>
                <w:shd w:val="clear" w:color="auto" w:fill="FFFFFF"/>
              </w:rPr>
            </w:pPr>
          </w:p>
        </w:tc>
        <w:tc>
          <w:tcPr>
            <w:tcW w:w="1300" w:type="dxa"/>
          </w:tcPr>
          <w:p w14:paraId="29CBED8A">
            <w:pPr>
              <w:rPr>
                <w:rFonts w:hint="eastAsia" w:ascii="仿宋_GB2312" w:hAnsi="仿宋_GB2312" w:eastAsia="仿宋_GB2312" w:cs="仿宋_GB2312"/>
                <w:color w:val="000000"/>
                <w:sz w:val="28"/>
                <w:szCs w:val="28"/>
                <w:shd w:val="clear" w:color="auto" w:fill="FFFFFF"/>
              </w:rPr>
            </w:pPr>
          </w:p>
        </w:tc>
        <w:tc>
          <w:tcPr>
            <w:tcW w:w="1300" w:type="dxa"/>
          </w:tcPr>
          <w:p w14:paraId="63C6A0F0">
            <w:pPr>
              <w:rPr>
                <w:rFonts w:hint="eastAsia" w:ascii="仿宋_GB2312" w:hAnsi="仿宋_GB2312" w:eastAsia="仿宋_GB2312" w:cs="仿宋_GB2312"/>
                <w:color w:val="000000"/>
                <w:sz w:val="28"/>
                <w:szCs w:val="28"/>
                <w:shd w:val="clear" w:color="auto" w:fill="FFFFFF"/>
              </w:rPr>
            </w:pPr>
          </w:p>
        </w:tc>
        <w:tc>
          <w:tcPr>
            <w:tcW w:w="1306" w:type="dxa"/>
          </w:tcPr>
          <w:p w14:paraId="58EE062D">
            <w:pPr>
              <w:rPr>
                <w:rFonts w:hint="eastAsia" w:ascii="仿宋_GB2312" w:hAnsi="仿宋_GB2312" w:eastAsia="仿宋_GB2312" w:cs="仿宋_GB2312"/>
                <w:color w:val="000000"/>
                <w:sz w:val="28"/>
                <w:szCs w:val="28"/>
                <w:shd w:val="clear" w:color="auto" w:fill="FFFFFF"/>
              </w:rPr>
            </w:pPr>
          </w:p>
        </w:tc>
        <w:tc>
          <w:tcPr>
            <w:tcW w:w="2016" w:type="dxa"/>
          </w:tcPr>
          <w:p w14:paraId="47A35BE5">
            <w:pPr>
              <w:rPr>
                <w:rFonts w:hint="eastAsia" w:ascii="仿宋_GB2312" w:hAnsi="仿宋_GB2312" w:eastAsia="仿宋_GB2312" w:cs="仿宋_GB2312"/>
                <w:color w:val="000000"/>
                <w:sz w:val="28"/>
                <w:szCs w:val="28"/>
                <w:shd w:val="clear" w:color="auto" w:fill="FFFFFF"/>
              </w:rPr>
            </w:pPr>
          </w:p>
        </w:tc>
      </w:tr>
      <w:tr w14:paraId="373B0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0" w:type="dxa"/>
          </w:tcPr>
          <w:p w14:paraId="2BDF66F3">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1</w:t>
            </w:r>
          </w:p>
        </w:tc>
        <w:tc>
          <w:tcPr>
            <w:tcW w:w="1300" w:type="dxa"/>
          </w:tcPr>
          <w:p w14:paraId="347D3CEA">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冯卫</w:t>
            </w:r>
          </w:p>
        </w:tc>
        <w:tc>
          <w:tcPr>
            <w:tcW w:w="1300" w:type="dxa"/>
          </w:tcPr>
          <w:p w14:paraId="43969F2B">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主任医师</w:t>
            </w:r>
          </w:p>
        </w:tc>
        <w:tc>
          <w:tcPr>
            <w:tcW w:w="1300" w:type="dxa"/>
          </w:tcPr>
          <w:p w14:paraId="04651D60">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内蒙古医科大学第二附属医院</w:t>
            </w:r>
          </w:p>
        </w:tc>
        <w:tc>
          <w:tcPr>
            <w:tcW w:w="1306" w:type="dxa"/>
          </w:tcPr>
          <w:p w14:paraId="36249CCE">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内蒙古医科大学第二附属医院</w:t>
            </w:r>
          </w:p>
        </w:tc>
        <w:tc>
          <w:tcPr>
            <w:tcW w:w="2016" w:type="dxa"/>
          </w:tcPr>
          <w:p w14:paraId="35A055C4">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完成项目的主体设计及实施，临床手术的操作、临床评估与手术技术的推广。附件中</w:t>
            </w:r>
          </w:p>
          <w:p w14:paraId="63070C41">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文章：骨盆重建钢板联合T型钢板弹性固定治疗涉及后壁粉碎的髋臼骨折及文章9：</w:t>
            </w:r>
          </w:p>
          <w:p w14:paraId="206E0177">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经髂腹股沟入路置入顺行拉力螺钉治疗涉及后柱的复杂髋臼骨折通讯作者。</w:t>
            </w:r>
          </w:p>
        </w:tc>
      </w:tr>
      <w:tr w14:paraId="22B75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0" w:type="dxa"/>
          </w:tcPr>
          <w:p w14:paraId="6DE0B081">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2</w:t>
            </w:r>
          </w:p>
        </w:tc>
        <w:tc>
          <w:tcPr>
            <w:tcW w:w="1300" w:type="dxa"/>
          </w:tcPr>
          <w:p w14:paraId="5FE032C8">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张元智</w:t>
            </w:r>
          </w:p>
        </w:tc>
        <w:tc>
          <w:tcPr>
            <w:tcW w:w="1300" w:type="dxa"/>
          </w:tcPr>
          <w:p w14:paraId="37090E7B">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教授</w:t>
            </w:r>
          </w:p>
        </w:tc>
        <w:tc>
          <w:tcPr>
            <w:tcW w:w="1300" w:type="dxa"/>
          </w:tcPr>
          <w:p w14:paraId="717D46C5">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内蒙古医科大学附属医院</w:t>
            </w:r>
          </w:p>
        </w:tc>
        <w:tc>
          <w:tcPr>
            <w:tcW w:w="1306" w:type="dxa"/>
          </w:tcPr>
          <w:p w14:paraId="6E10D558">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内蒙古医科大学附属医院</w:t>
            </w:r>
          </w:p>
        </w:tc>
        <w:tc>
          <w:tcPr>
            <w:tcW w:w="2016" w:type="dxa"/>
          </w:tcPr>
          <w:p w14:paraId="16D592D3">
            <w:pPr>
              <w:tabs>
                <w:tab w:val="left" w:pos="20"/>
              </w:tabs>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ab/>
            </w:r>
            <w:r>
              <w:rPr>
                <w:rFonts w:hint="eastAsia" w:ascii="仿宋" w:hAnsi="仿宋" w:eastAsia="仿宋" w:cs="仿宋_GB2312"/>
                <w:color w:val="000000"/>
                <w:sz w:val="24"/>
                <w:shd w:val="clear" w:color="auto" w:fill="FFFFFF"/>
              </w:rPr>
              <w:t>完成项目的主体设计及实施。项目1、2、3的主持人，文章髋臼前柱顺行拉力螺钉固</w:t>
            </w:r>
          </w:p>
          <w:p w14:paraId="1A6E53E3">
            <w:pPr>
              <w:tabs>
                <w:tab w:val="left" w:pos="580"/>
              </w:tabs>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定钉道的设计及有限元分析、髋臼后柱顺行骨通道螺钉钉道的数字化分析与验证、髋</w:t>
            </w:r>
          </w:p>
          <w:p w14:paraId="1594FDE4">
            <w:pPr>
              <w:tabs>
                <w:tab w:val="left" w:pos="580"/>
              </w:tabs>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臼后柱顺行螺钉固定钉道的有限元分析、机器人辅助与徒手经皮螺钉固定髋臼骨折、</w:t>
            </w:r>
          </w:p>
          <w:p w14:paraId="0FDCBFD0">
            <w:pPr>
              <w:tabs>
                <w:tab w:val="left" w:pos="580"/>
              </w:tabs>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肠道准备对经皮横向骶髂关节螺钉固定的影响的作者。</w:t>
            </w:r>
          </w:p>
        </w:tc>
      </w:tr>
      <w:tr w14:paraId="67E22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0" w:type="dxa"/>
          </w:tcPr>
          <w:p w14:paraId="6F02420C">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3</w:t>
            </w:r>
          </w:p>
        </w:tc>
        <w:tc>
          <w:tcPr>
            <w:tcW w:w="1300" w:type="dxa"/>
          </w:tcPr>
          <w:p w14:paraId="44ACBBD9">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孟晨阳</w:t>
            </w:r>
          </w:p>
        </w:tc>
        <w:tc>
          <w:tcPr>
            <w:tcW w:w="1300" w:type="dxa"/>
          </w:tcPr>
          <w:p w14:paraId="31AF467B">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副主任医师</w:t>
            </w:r>
          </w:p>
        </w:tc>
        <w:tc>
          <w:tcPr>
            <w:tcW w:w="1300" w:type="dxa"/>
          </w:tcPr>
          <w:p w14:paraId="2C2F9D93">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内蒙古医科大学第二附属医院</w:t>
            </w:r>
          </w:p>
        </w:tc>
        <w:tc>
          <w:tcPr>
            <w:tcW w:w="1306" w:type="dxa"/>
          </w:tcPr>
          <w:p w14:paraId="39BCCF6B">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内蒙古医科大学第二附属医院</w:t>
            </w:r>
          </w:p>
        </w:tc>
        <w:tc>
          <w:tcPr>
            <w:tcW w:w="2016" w:type="dxa"/>
          </w:tcPr>
          <w:p w14:paraId="1B6E0C7F">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完成项目的实施，论文撰写，课题结题，指导资料收集整理和数据统计分析，协助完 成手术操作与临床课题设计与规划。文章骨盆重建钢板联合T型钢板弹性固定 治疗涉及后壁粉碎的髋臼骨折中的作者。</w:t>
            </w:r>
          </w:p>
        </w:tc>
      </w:tr>
      <w:tr w14:paraId="727C9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0" w:type="dxa"/>
          </w:tcPr>
          <w:p w14:paraId="6A401638">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4</w:t>
            </w:r>
          </w:p>
        </w:tc>
        <w:tc>
          <w:tcPr>
            <w:tcW w:w="1300" w:type="dxa"/>
          </w:tcPr>
          <w:p w14:paraId="37A14F37">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王少白</w:t>
            </w:r>
          </w:p>
        </w:tc>
        <w:tc>
          <w:tcPr>
            <w:tcW w:w="1300" w:type="dxa"/>
          </w:tcPr>
          <w:p w14:paraId="4268C7E6">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教授</w:t>
            </w:r>
          </w:p>
        </w:tc>
        <w:tc>
          <w:tcPr>
            <w:tcW w:w="1300" w:type="dxa"/>
          </w:tcPr>
          <w:p w14:paraId="48C99101">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上海体育大学</w:t>
            </w:r>
          </w:p>
        </w:tc>
        <w:tc>
          <w:tcPr>
            <w:tcW w:w="1306" w:type="dxa"/>
          </w:tcPr>
          <w:p w14:paraId="77CCB405">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上海体育大学</w:t>
            </w:r>
          </w:p>
        </w:tc>
        <w:tc>
          <w:tcPr>
            <w:tcW w:w="2016" w:type="dxa"/>
          </w:tcPr>
          <w:p w14:paraId="032309CC">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主要参与建立骨盆骨折数字化重建与三维解剖分析方法。文章Unobstructed orthopedic surgical robot assisted percutaneous iliosacral screw fixation of sacral brittle fractures、Different Lengths of Percutaneous Transverse Iliosacral Screw in Geometric Osseous Fixation Pathway</w:t>
            </w:r>
          </w:p>
          <w:p w14:paraId="723B92D3">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A Finite</w:t>
            </w:r>
            <w:r>
              <w:rPr>
                <w:rFonts w:hint="eastAsia" w:ascii="仿宋" w:hAnsi="仿宋" w:eastAsia="仿宋" w:cs="仿宋_GB2312"/>
                <w:color w:val="000000"/>
                <w:sz w:val="24"/>
                <w:shd w:val="clear" w:color="auto" w:fill="FFFFFF"/>
              </w:rPr>
              <w:noBreakHyphen/>
            </w:r>
            <w:r>
              <w:rPr>
                <w:rFonts w:hint="eastAsia" w:ascii="仿宋" w:hAnsi="仿宋" w:eastAsia="仿宋" w:cs="仿宋_GB2312"/>
                <w:color w:val="000000"/>
                <w:sz w:val="24"/>
                <w:shd w:val="clear" w:color="auto" w:fill="FFFFFF"/>
              </w:rPr>
              <w:t>Element Analysis、机器人辅助与徒手经皮螺钉固定髋臼骨折的作者</w:t>
            </w:r>
          </w:p>
        </w:tc>
      </w:tr>
      <w:tr w14:paraId="2FD9A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0" w:type="dxa"/>
          </w:tcPr>
          <w:p w14:paraId="3210B1B3">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5</w:t>
            </w:r>
          </w:p>
        </w:tc>
        <w:tc>
          <w:tcPr>
            <w:tcW w:w="1300" w:type="dxa"/>
          </w:tcPr>
          <w:p w14:paraId="457DEF14">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佟雁翔</w:t>
            </w:r>
          </w:p>
        </w:tc>
        <w:tc>
          <w:tcPr>
            <w:tcW w:w="1300" w:type="dxa"/>
          </w:tcPr>
          <w:p w14:paraId="0B499DF2">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主任医师</w:t>
            </w:r>
          </w:p>
        </w:tc>
        <w:tc>
          <w:tcPr>
            <w:tcW w:w="1300" w:type="dxa"/>
          </w:tcPr>
          <w:p w14:paraId="223D11ED">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内蒙古医科大学第二附属医院</w:t>
            </w:r>
          </w:p>
        </w:tc>
        <w:tc>
          <w:tcPr>
            <w:tcW w:w="1306" w:type="dxa"/>
          </w:tcPr>
          <w:p w14:paraId="1BE56FBE">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内蒙古医科大学第二附属医院</w:t>
            </w:r>
          </w:p>
        </w:tc>
        <w:tc>
          <w:tcPr>
            <w:tcW w:w="2016" w:type="dxa"/>
          </w:tcPr>
          <w:p w14:paraId="4BFC79CE">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指导资料收集整理和数据统计分析，协助完成手术操作与临床课题设计与规划。文章经髂腹股沟入路置入顺行拉力螺钉治疗涉及后柱的复杂髋臼骨折的作者</w:t>
            </w:r>
          </w:p>
        </w:tc>
      </w:tr>
      <w:tr w14:paraId="37E38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0" w:type="dxa"/>
          </w:tcPr>
          <w:p w14:paraId="4CCEB8AF">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6</w:t>
            </w:r>
          </w:p>
        </w:tc>
        <w:tc>
          <w:tcPr>
            <w:tcW w:w="1300" w:type="dxa"/>
          </w:tcPr>
          <w:p w14:paraId="318FE9B1">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张小丽</w:t>
            </w:r>
          </w:p>
        </w:tc>
        <w:tc>
          <w:tcPr>
            <w:tcW w:w="1300" w:type="dxa"/>
          </w:tcPr>
          <w:p w14:paraId="7904F627">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副主任护师</w:t>
            </w:r>
          </w:p>
        </w:tc>
        <w:tc>
          <w:tcPr>
            <w:tcW w:w="1300" w:type="dxa"/>
          </w:tcPr>
          <w:p w14:paraId="4E64219D">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内蒙古医科大学附属医院</w:t>
            </w:r>
          </w:p>
        </w:tc>
        <w:tc>
          <w:tcPr>
            <w:tcW w:w="1306" w:type="dxa"/>
          </w:tcPr>
          <w:p w14:paraId="726A7027">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内蒙古医科大学附属医院</w:t>
            </w:r>
          </w:p>
        </w:tc>
        <w:tc>
          <w:tcPr>
            <w:tcW w:w="2016" w:type="dxa"/>
          </w:tcPr>
          <w:p w14:paraId="785D8C7D">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完成项目数据收集与分析，文章肠道准备对经皮横向骶髂关节螺钉固定的影响的 作者</w:t>
            </w:r>
          </w:p>
        </w:tc>
      </w:tr>
      <w:tr w14:paraId="431E2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0" w:type="dxa"/>
          </w:tcPr>
          <w:p w14:paraId="2FFA4245">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7</w:t>
            </w:r>
          </w:p>
        </w:tc>
        <w:tc>
          <w:tcPr>
            <w:tcW w:w="1300" w:type="dxa"/>
          </w:tcPr>
          <w:p w14:paraId="2ECD0C43">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高丽</w:t>
            </w:r>
          </w:p>
        </w:tc>
        <w:tc>
          <w:tcPr>
            <w:tcW w:w="1300" w:type="dxa"/>
          </w:tcPr>
          <w:p w14:paraId="0B5C2CDA">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主任医师</w:t>
            </w:r>
          </w:p>
        </w:tc>
        <w:tc>
          <w:tcPr>
            <w:tcW w:w="1300" w:type="dxa"/>
          </w:tcPr>
          <w:p w14:paraId="6A3157BF">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内蒙古医科大学附属医院</w:t>
            </w:r>
          </w:p>
        </w:tc>
        <w:tc>
          <w:tcPr>
            <w:tcW w:w="1306" w:type="dxa"/>
          </w:tcPr>
          <w:p w14:paraId="02002F34">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内蒙古医科大学附属医院</w:t>
            </w:r>
          </w:p>
        </w:tc>
        <w:tc>
          <w:tcPr>
            <w:tcW w:w="2016" w:type="dxa"/>
          </w:tcPr>
          <w:p w14:paraId="5C1F982F">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完成项目的资料收集整理和数据统计分析。文章Bi-planar fluoroscopic positioning robot assisting in percutaneous iliosacral screw fixation of sacrum fractures、肠道准备对经皮横向骶髂关节螺钉固定的影响中的作者</w:t>
            </w:r>
          </w:p>
        </w:tc>
      </w:tr>
      <w:tr w14:paraId="3C644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0" w:type="dxa"/>
          </w:tcPr>
          <w:p w14:paraId="7719D0BB">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8</w:t>
            </w:r>
          </w:p>
        </w:tc>
        <w:tc>
          <w:tcPr>
            <w:tcW w:w="1300" w:type="dxa"/>
          </w:tcPr>
          <w:p w14:paraId="34697D30">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郝廷</w:t>
            </w:r>
          </w:p>
        </w:tc>
        <w:tc>
          <w:tcPr>
            <w:tcW w:w="1300" w:type="dxa"/>
          </w:tcPr>
          <w:p w14:paraId="4DF4599A">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主任医师</w:t>
            </w:r>
          </w:p>
        </w:tc>
        <w:tc>
          <w:tcPr>
            <w:tcW w:w="1300" w:type="dxa"/>
          </w:tcPr>
          <w:p w14:paraId="321E4782">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内蒙古医科大学第二附属医院</w:t>
            </w:r>
          </w:p>
        </w:tc>
        <w:tc>
          <w:tcPr>
            <w:tcW w:w="1306" w:type="dxa"/>
          </w:tcPr>
          <w:p w14:paraId="4EAA028B">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内蒙古医科大学第二附属医院</w:t>
            </w:r>
          </w:p>
        </w:tc>
        <w:tc>
          <w:tcPr>
            <w:tcW w:w="2016" w:type="dxa"/>
          </w:tcPr>
          <w:p w14:paraId="6B3070CD">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完成项目的资料收集整理和数据统计分析，以及手术的操作和前期课题的准备。文章数字骨科学在临床骨科的研究进展的作者</w:t>
            </w:r>
          </w:p>
        </w:tc>
      </w:tr>
      <w:tr w14:paraId="28C2D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0" w:type="dxa"/>
          </w:tcPr>
          <w:p w14:paraId="6F1CB41D">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9</w:t>
            </w:r>
          </w:p>
        </w:tc>
        <w:tc>
          <w:tcPr>
            <w:tcW w:w="1300" w:type="dxa"/>
          </w:tcPr>
          <w:p w14:paraId="3B36BC10">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李亚光</w:t>
            </w:r>
          </w:p>
        </w:tc>
        <w:tc>
          <w:tcPr>
            <w:tcW w:w="1300" w:type="dxa"/>
          </w:tcPr>
          <w:p w14:paraId="3DD991A5">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主任医师</w:t>
            </w:r>
          </w:p>
        </w:tc>
        <w:tc>
          <w:tcPr>
            <w:tcW w:w="1300" w:type="dxa"/>
          </w:tcPr>
          <w:p w14:paraId="5EB54CFE">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内蒙古医科大学第二附属医院</w:t>
            </w:r>
          </w:p>
        </w:tc>
        <w:tc>
          <w:tcPr>
            <w:tcW w:w="1306" w:type="dxa"/>
          </w:tcPr>
          <w:p w14:paraId="6C57953F">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内蒙古医科大学第二附属医院</w:t>
            </w:r>
          </w:p>
        </w:tc>
        <w:tc>
          <w:tcPr>
            <w:tcW w:w="2016" w:type="dxa"/>
          </w:tcPr>
          <w:p w14:paraId="77057E15">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完成项目的资料收集整理和数据统计分析。文章髋臼后柱顺行螺钉固定钉道的有限元分析 的作者</w:t>
            </w:r>
          </w:p>
        </w:tc>
      </w:tr>
      <w:tr w14:paraId="20FF2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0" w:type="dxa"/>
          </w:tcPr>
          <w:p w14:paraId="54C7CB33">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10</w:t>
            </w:r>
          </w:p>
        </w:tc>
        <w:tc>
          <w:tcPr>
            <w:tcW w:w="1300" w:type="dxa"/>
          </w:tcPr>
          <w:p w14:paraId="0FCB47C9">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李小娟</w:t>
            </w:r>
          </w:p>
        </w:tc>
        <w:tc>
          <w:tcPr>
            <w:tcW w:w="1300" w:type="dxa"/>
          </w:tcPr>
          <w:p w14:paraId="048D9ED9">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教授</w:t>
            </w:r>
          </w:p>
        </w:tc>
        <w:tc>
          <w:tcPr>
            <w:tcW w:w="1300" w:type="dxa"/>
          </w:tcPr>
          <w:p w14:paraId="4813A07B">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内蒙古自治区健康管理服务中心</w:t>
            </w:r>
          </w:p>
        </w:tc>
        <w:tc>
          <w:tcPr>
            <w:tcW w:w="1306" w:type="dxa"/>
          </w:tcPr>
          <w:p w14:paraId="34006A9F">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内蒙古自治区健康管理服务中心</w:t>
            </w:r>
          </w:p>
        </w:tc>
        <w:tc>
          <w:tcPr>
            <w:tcW w:w="2016" w:type="dxa"/>
          </w:tcPr>
          <w:p w14:paraId="0F072ABC">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完成项目的资料收集整理和数据统计分析。文章机器人辅助与徒手经皮螺钉固定 髋臼骨折的作者</w:t>
            </w:r>
          </w:p>
        </w:tc>
      </w:tr>
      <w:tr w14:paraId="7B4E2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0" w:type="dxa"/>
          </w:tcPr>
          <w:p w14:paraId="76A2BBE4">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11</w:t>
            </w:r>
          </w:p>
        </w:tc>
        <w:tc>
          <w:tcPr>
            <w:tcW w:w="1300" w:type="dxa"/>
          </w:tcPr>
          <w:p w14:paraId="5C0F1C6D">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薛飞</w:t>
            </w:r>
          </w:p>
        </w:tc>
        <w:tc>
          <w:tcPr>
            <w:tcW w:w="1300" w:type="dxa"/>
          </w:tcPr>
          <w:p w14:paraId="4AC27284">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主任医师</w:t>
            </w:r>
          </w:p>
        </w:tc>
        <w:tc>
          <w:tcPr>
            <w:tcW w:w="1300" w:type="dxa"/>
          </w:tcPr>
          <w:p w14:paraId="20B00187">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内蒙古医科大学第二附属医院</w:t>
            </w:r>
          </w:p>
        </w:tc>
        <w:tc>
          <w:tcPr>
            <w:tcW w:w="1306" w:type="dxa"/>
          </w:tcPr>
          <w:p w14:paraId="1B376E23">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内蒙古医科大学第二附属医院</w:t>
            </w:r>
          </w:p>
        </w:tc>
        <w:tc>
          <w:tcPr>
            <w:tcW w:w="2016" w:type="dxa"/>
          </w:tcPr>
          <w:p w14:paraId="3889033E">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完成项目的资料收集整理和数据统计分析。文章骨盆重建钢板联合T型钢板弹性 固定治疗涉及后壁粉碎的髋臼骨折及经髂腹股沟入路置入顺行拉力螺钉治疗涉及 后柱的复杂髋臼骨折的作者</w:t>
            </w:r>
          </w:p>
        </w:tc>
      </w:tr>
      <w:tr w14:paraId="77144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0" w:type="dxa"/>
          </w:tcPr>
          <w:p w14:paraId="7F995ADF">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12</w:t>
            </w:r>
          </w:p>
        </w:tc>
        <w:tc>
          <w:tcPr>
            <w:tcW w:w="1300" w:type="dxa"/>
          </w:tcPr>
          <w:p w14:paraId="394025E8">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王文选</w:t>
            </w:r>
          </w:p>
        </w:tc>
        <w:tc>
          <w:tcPr>
            <w:tcW w:w="1300" w:type="dxa"/>
          </w:tcPr>
          <w:p w14:paraId="6CFB09B9">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副主任医师</w:t>
            </w:r>
          </w:p>
        </w:tc>
        <w:tc>
          <w:tcPr>
            <w:tcW w:w="1300" w:type="dxa"/>
          </w:tcPr>
          <w:p w14:paraId="75B0F33E">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内蒙古医科大学第二附属医院</w:t>
            </w:r>
          </w:p>
        </w:tc>
        <w:tc>
          <w:tcPr>
            <w:tcW w:w="1306" w:type="dxa"/>
          </w:tcPr>
          <w:p w14:paraId="2070873D">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内蒙古医科大学第二附属医院</w:t>
            </w:r>
          </w:p>
        </w:tc>
        <w:tc>
          <w:tcPr>
            <w:tcW w:w="2016" w:type="dxa"/>
          </w:tcPr>
          <w:p w14:paraId="1800F06D">
            <w:pPr>
              <w:rPr>
                <w:rFonts w:hint="eastAsia" w:ascii="仿宋" w:hAnsi="仿宋" w:eastAsia="仿宋" w:cs="仿宋_GB2312"/>
                <w:color w:val="000000"/>
                <w:sz w:val="24"/>
                <w:shd w:val="clear" w:color="auto" w:fill="FFFFFF"/>
              </w:rPr>
            </w:pPr>
            <w:r>
              <w:rPr>
                <w:rFonts w:hint="eastAsia" w:ascii="仿宋" w:hAnsi="仿宋" w:eastAsia="仿宋" w:cs="仿宋_GB2312"/>
                <w:color w:val="000000"/>
                <w:sz w:val="24"/>
                <w:shd w:val="clear" w:color="auto" w:fill="FFFFFF"/>
              </w:rPr>
              <w:t>完成项目的资料收集整理和数据统计分析。文章：经髂腹股沟入路置入顺行拉力螺 钉治疗涉及后柱的复杂髋臼骨折的作者</w:t>
            </w:r>
          </w:p>
        </w:tc>
      </w:tr>
    </w:tbl>
    <w:p w14:paraId="5AF546AF">
      <w:pPr>
        <w:pStyle w:val="4"/>
        <w:widowControl/>
        <w:shd w:val="clear" w:color="auto" w:fill="FFFFFF"/>
        <w:spacing w:beforeAutospacing="0" w:afterAutospacing="0"/>
        <w:rPr>
          <w:rFonts w:hint="eastAsia" w:ascii="微软雅黑" w:hAnsi="微软雅黑" w:eastAsia="微软雅黑" w:cs="微软雅黑"/>
          <w:color w:val="000000"/>
          <w:sz w:val="16"/>
          <w:szCs w:val="16"/>
        </w:rPr>
      </w:pPr>
      <w:r>
        <w:rPr>
          <w:rFonts w:ascii="仿宋_GB2312" w:hAnsi="仿宋_GB2312" w:eastAsia="仿宋_GB2312" w:cs="仿宋_GB2312"/>
          <w:color w:val="000000"/>
          <w:sz w:val="28"/>
          <w:szCs w:val="28"/>
          <w:shd w:val="clear" w:color="auto" w:fill="FFFFFF"/>
        </w:rPr>
        <w:t>七、</w:t>
      </w:r>
      <w:r>
        <w:rPr>
          <w:rFonts w:ascii="仿宋_GB2312" w:hAnsi="仿宋_GB2312" w:eastAsia="仿宋_GB2312" w:cs="仿宋_GB2312"/>
          <w:color w:val="000000"/>
          <w:sz w:val="28"/>
          <w:szCs w:val="28"/>
          <w:highlight w:val="yellow"/>
          <w:shd w:val="clear" w:color="auto" w:fill="FFFFFF"/>
        </w:rPr>
        <w:t>主要完成单位及排序</w:t>
      </w:r>
      <w:r>
        <w:rPr>
          <w:rFonts w:ascii="仿宋_GB2312" w:hAnsi="仿宋_GB2312" w:eastAsia="仿宋_GB2312" w:cs="仿宋_GB2312"/>
          <w:color w:val="000000"/>
          <w:sz w:val="28"/>
          <w:szCs w:val="28"/>
          <w:shd w:val="clear" w:color="auto" w:fill="FFFFFF"/>
        </w:rPr>
        <w:t>（按排序依次填写）：</w:t>
      </w:r>
    </w:p>
    <w:p w14:paraId="385DBD98">
      <w:pPr>
        <w:pStyle w:val="4"/>
        <w:widowControl/>
        <w:shd w:val="clear" w:color="auto" w:fill="FFFFFF"/>
        <w:spacing w:beforeAutospacing="0" w:afterAutospacing="0" w:line="166" w:lineRule="atLeast"/>
        <w:ind w:firstLine="370"/>
        <w:rPr>
          <w:rFonts w:hint="eastAsia" w:ascii="微软雅黑" w:hAnsi="微软雅黑" w:eastAsia="微软雅黑" w:cs="微软雅黑"/>
          <w:color w:val="000000"/>
          <w:sz w:val="16"/>
          <w:szCs w:val="16"/>
        </w:rPr>
      </w:pPr>
      <w:r>
        <w:rPr>
          <w:rFonts w:hint="eastAsia" w:ascii="仿宋_GB2312" w:hAnsi="仿宋_GB2312" w:eastAsia="仿宋_GB2312" w:cs="仿宋_GB2312"/>
          <w:color w:val="000000"/>
          <w:sz w:val="28"/>
          <w:szCs w:val="28"/>
          <w:shd w:val="clear" w:color="auto" w:fill="FFFFFF"/>
        </w:rPr>
        <w:t>内蒙古医科大学第二附属医院，内蒙古医科大学附属医院，上海体育大学，</w:t>
      </w:r>
      <w:r>
        <w:rPr>
          <w:rFonts w:ascii="仿宋_GB2312" w:hAnsi="仿宋_GB2312" w:eastAsia="仿宋_GB2312" w:cs="仿宋_GB2312"/>
          <w:color w:val="000000"/>
          <w:sz w:val="28"/>
          <w:szCs w:val="28"/>
          <w:shd w:val="clear" w:color="auto" w:fill="FFFFFF"/>
        </w:rPr>
        <w:t>内蒙古自治区健康管理服务中心</w:t>
      </w:r>
    </w:p>
    <w:p w14:paraId="5E91D8D0">
      <w:pPr>
        <w:rPr>
          <w:rFonts w:hint="eastAsia" w:ascii="仿宋_GB2312" w:hAnsi="仿宋_GB2312" w:eastAsia="仿宋_GB2312" w:cs="仿宋_GB2312"/>
          <w:color w:val="000000"/>
          <w:sz w:val="28"/>
          <w:szCs w:val="28"/>
          <w:shd w:val="clear" w:color="auto" w:fill="FFFFFF"/>
        </w:rPr>
      </w:pPr>
    </w:p>
    <w:p w14:paraId="70B39463">
      <w:pPr>
        <w:ind w:firstLine="560" w:firstLineChars="200"/>
        <w:rPr>
          <w:rFonts w:hint="eastAsia" w:ascii="仿宋_GB2312" w:hAnsi="仿宋_GB2312" w:eastAsia="仿宋_GB2312" w:cs="仿宋_GB2312"/>
          <w:color w:val="000000"/>
          <w:sz w:val="28"/>
          <w:szCs w:val="28"/>
          <w:shd w:val="clear" w:color="auto" w:fill="FFFFFF"/>
        </w:rPr>
      </w:pPr>
      <w:r>
        <w:rPr>
          <w:rFonts w:ascii="仿宋_GB2312" w:hAnsi="仿宋_GB2312" w:eastAsia="仿宋_GB2312" w:cs="仿宋_GB2312"/>
          <w:color w:val="000000"/>
          <w:sz w:val="28"/>
          <w:szCs w:val="28"/>
          <w:shd w:val="clear" w:color="auto" w:fill="FFFFFF"/>
        </w:rPr>
        <w:t>该项目已征求了</w:t>
      </w:r>
      <w:r>
        <w:rPr>
          <w:rStyle w:val="8"/>
          <w:rFonts w:ascii="仿宋_GB2312" w:hAnsi="仿宋_GB2312" w:eastAsia="仿宋_GB2312" w:cs="仿宋_GB2312"/>
          <w:color w:val="000000"/>
          <w:sz w:val="28"/>
          <w:szCs w:val="28"/>
          <w:u w:val="single"/>
          <w:shd w:val="clear" w:color="auto" w:fill="FFFFFF"/>
        </w:rPr>
        <w:t>吴新宝（首都医科大学附属北京积水潭医院骨外科）、 余斌（南方医科大学骨外科）  、刘光耀（吉林大学中日联谊医院骨外科）</w:t>
      </w:r>
      <w:r>
        <w:rPr>
          <w:rFonts w:ascii="仿宋_GB2312" w:hAnsi="仿宋_GB2312" w:eastAsia="仿宋_GB2312" w:cs="仿宋_GB2312"/>
          <w:color w:val="000000"/>
          <w:sz w:val="28"/>
          <w:szCs w:val="28"/>
          <w:shd w:val="clear" w:color="auto" w:fill="FFFFFF"/>
        </w:rPr>
        <w:t>等</w:t>
      </w:r>
      <w:r>
        <w:rPr>
          <w:rFonts w:hint="eastAsia" w:ascii="仿宋_GB2312" w:hAnsi="仿宋_GB2312" w:eastAsia="仿宋_GB2312" w:cs="仿宋_GB2312"/>
          <w:color w:val="000000"/>
          <w:sz w:val="28"/>
          <w:szCs w:val="28"/>
          <w:shd w:val="clear" w:color="auto" w:fill="FFFFFF"/>
        </w:rPr>
        <w:t>3名专家意见。</w:t>
      </w:r>
    </w:p>
    <w:p w14:paraId="12C4E39B">
      <w:pPr>
        <w:ind w:firstLine="560" w:firstLineChars="200"/>
        <w:rPr>
          <w:rFonts w:hint="eastAsia" w:ascii="仿宋_GB2312" w:hAnsi="仿宋_GB2312" w:eastAsia="仿宋_GB2312" w:cs="仿宋_GB2312"/>
          <w:color w:val="000000"/>
          <w:sz w:val="28"/>
          <w:szCs w:val="28"/>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方正仿宋_GB2312">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3526B3"/>
    <w:multiLevelType w:val="singleLevel"/>
    <w:tmpl w:val="953526B3"/>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D7E"/>
    <w:rsid w:val="001F1FCA"/>
    <w:rsid w:val="0028660E"/>
    <w:rsid w:val="004E1110"/>
    <w:rsid w:val="004E28C7"/>
    <w:rsid w:val="00607602"/>
    <w:rsid w:val="006229B7"/>
    <w:rsid w:val="00691983"/>
    <w:rsid w:val="006E1763"/>
    <w:rsid w:val="00722D7E"/>
    <w:rsid w:val="00D769F5"/>
    <w:rsid w:val="0D560A57"/>
    <w:rsid w:val="10F62635"/>
    <w:rsid w:val="15657D89"/>
    <w:rsid w:val="25394B37"/>
    <w:rsid w:val="286A72DE"/>
    <w:rsid w:val="2ED04E44"/>
    <w:rsid w:val="31301DB6"/>
    <w:rsid w:val="37DC7F27"/>
    <w:rsid w:val="39992B2A"/>
    <w:rsid w:val="39DF785B"/>
    <w:rsid w:val="3A391905"/>
    <w:rsid w:val="3B520CD1"/>
    <w:rsid w:val="4056622E"/>
    <w:rsid w:val="430E45F2"/>
    <w:rsid w:val="48474F49"/>
    <w:rsid w:val="52DB4C0C"/>
    <w:rsid w:val="55170BA8"/>
    <w:rsid w:val="5F795ED8"/>
    <w:rsid w:val="64B204D8"/>
    <w:rsid w:val="7A8B66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qFormat/>
    <w:uiPriority w:val="0"/>
    <w:pPr>
      <w:tabs>
        <w:tab w:val="center" w:pos="4153"/>
        <w:tab w:val="right" w:pos="8306"/>
      </w:tabs>
      <w:snapToGrid w:val="0"/>
      <w:jc w:val="left"/>
    </w:pPr>
    <w:rPr>
      <w:sz w:val="18"/>
      <w:szCs w:val="18"/>
    </w:rPr>
  </w:style>
  <w:style w:type="paragraph" w:styleId="3">
    <w:name w:val="header"/>
    <w:basedOn w:val="1"/>
    <w:link w:val="9"/>
    <w:qFormat/>
    <w:uiPriority w:val="0"/>
    <w:pP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customStyle="1" w:styleId="9">
    <w:name w:val="页眉 字符"/>
    <w:basedOn w:val="7"/>
    <w:link w:val="3"/>
    <w:qFormat/>
    <w:uiPriority w:val="0"/>
    <w:rPr>
      <w:rFonts w:asciiTheme="minorHAnsi" w:hAnsiTheme="minorHAnsi" w:eastAsiaTheme="minorEastAsia" w:cstheme="minorBidi"/>
      <w:kern w:val="2"/>
      <w:sz w:val="18"/>
      <w:szCs w:val="18"/>
    </w:rPr>
  </w:style>
  <w:style w:type="character" w:customStyle="1" w:styleId="10">
    <w:name w:val="页脚 字符"/>
    <w:basedOn w:val="7"/>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1207</Words>
  <Characters>1745</Characters>
  <Lines>27</Lines>
  <Paragraphs>7</Paragraphs>
  <TotalTime>0</TotalTime>
  <ScaleCrop>false</ScaleCrop>
  <LinksUpToDate>false</LinksUpToDate>
  <CharactersWithSpaces>1826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2026-09-03T03:46:00Z</dcterms:created>
  <dc:creator>shiqi</dc:creator>
  <cp:lastModifiedBy>秦维铎</cp:lastModifiedBy>
  <dcterms:modified xsi:type="dcterms:W3CDTF">2026-09-07T07:56:39Z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eyJoZGlkIjoiZDZjMGQ4MzMxY2UwZTMyMGI5MzI2NzE3YjQ1Mzc1NjciLCJ1c2VySWQiOiIxNzExNzk1ODUwIn0=</vt:lpwstr>
  </property>
  <property fmtid="{D5CDD505-2E9C-101B-9397-08002B2CF9AE}" pid="4" name="ICV">
    <vt:lpwstr>64064992659449E4B4815168821F6146_13</vt:lpwstr>
  </property>
</Properties>
</file>