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37D7F4">
      <w:pPr>
        <w:pStyle w:val="4"/>
        <w:widowControl/>
        <w:shd w:val="clear" w:color="auto" w:fill="FFFFFF"/>
        <w:spacing w:beforeAutospacing="0" w:afterAutospacing="0" w:line="400" w:lineRule="atLeast"/>
        <w:ind w:left="250" w:right="250"/>
        <w:jc w:val="center"/>
        <w:rPr>
          <w:rFonts w:hint="eastAsia" w:ascii="微软雅黑" w:hAnsi="微软雅黑" w:eastAsia="微软雅黑" w:cs="微软雅黑"/>
          <w:b/>
          <w:bCs/>
          <w:color w:val="000000"/>
          <w:sz w:val="43"/>
          <w:szCs w:val="43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sz w:val="43"/>
          <w:szCs w:val="43"/>
          <w:shd w:val="clear" w:color="auto" w:fill="FFFFFF"/>
        </w:rPr>
        <w:t>关于对我单位参与申报2026年度内蒙古自治区自然科学奖的公示</w:t>
      </w:r>
    </w:p>
    <w:p w14:paraId="4A129F68">
      <w:pPr>
        <w:pStyle w:val="4"/>
        <w:widowControl/>
        <w:spacing w:beforeAutospacing="0" w:afterAutospacing="0" w:line="166" w:lineRule="atLeast"/>
        <w:jc w:val="center"/>
        <w:rPr>
          <w:rFonts w:hint="eastAsia" w:ascii="微软雅黑" w:hAnsi="微软雅黑" w:eastAsia="微软雅黑" w:cs="微软雅黑"/>
        </w:rPr>
      </w:pPr>
    </w:p>
    <w:p w14:paraId="23628D55">
      <w:pPr>
        <w:pStyle w:val="4"/>
        <w:widowControl/>
        <w:spacing w:beforeAutospacing="0" w:afterAutospacing="0" w:line="480" w:lineRule="atLeast"/>
        <w:ind w:firstLine="430"/>
        <w:jc w:val="both"/>
        <w:rPr>
          <w:rFonts w:hint="eastAsia" w:ascii="仿宋" w:hAnsi="仿宋" w:eastAsia="仿宋" w:cs="仿宋"/>
          <w:color w:val="000000"/>
          <w:sz w:val="31"/>
          <w:szCs w:val="31"/>
          <w:shd w:val="clear" w:color="auto" w:fill="FFFFFF"/>
        </w:rPr>
      </w:pPr>
      <w:r>
        <w:rPr>
          <w:rFonts w:ascii="仿宋" w:hAnsi="仿宋" w:eastAsia="仿宋" w:cs="仿宋"/>
          <w:color w:val="000000"/>
          <w:sz w:val="31"/>
          <w:szCs w:val="31"/>
          <w:shd w:val="clear" w:color="auto" w:fill="FFFFFF"/>
        </w:rPr>
        <w:t>按照</w:t>
      </w:r>
      <w:r>
        <w:rPr>
          <w:rFonts w:hint="eastAsia" w:ascii="仿宋" w:hAnsi="仿宋" w:eastAsia="仿宋" w:cs="仿宋"/>
          <w:color w:val="000000"/>
          <w:sz w:val="31"/>
          <w:szCs w:val="31"/>
          <w:shd w:val="clear" w:color="auto" w:fill="FFFFFF"/>
        </w:rPr>
        <w:t>自治区科学技术厅《关于启动2026年度内蒙古自治区科学技术奖提名工作的通知》的相关规定，现对我单位参与申报的1项内蒙古自治区</w:t>
      </w:r>
      <w:r>
        <w:rPr>
          <w:rFonts w:ascii="仿宋" w:hAnsi="仿宋" w:eastAsia="仿宋" w:cs="仿宋"/>
          <w:color w:val="000000"/>
          <w:sz w:val="31"/>
          <w:szCs w:val="31"/>
          <w:shd w:val="clear" w:color="auto" w:fill="FFFFFF"/>
        </w:rPr>
        <w:t>自然科学奖</w:t>
      </w:r>
      <w:r>
        <w:rPr>
          <w:rFonts w:hint="eastAsia" w:ascii="仿宋" w:hAnsi="仿宋" w:eastAsia="仿宋" w:cs="仿宋"/>
          <w:color w:val="000000"/>
          <w:sz w:val="31"/>
          <w:szCs w:val="31"/>
          <w:shd w:val="clear" w:color="auto" w:fill="FFFFFF"/>
        </w:rPr>
        <w:t>拟提名项目“</w:t>
      </w:r>
      <w:r>
        <w:rPr>
          <w:rFonts w:ascii="仿宋" w:hAnsi="仿宋" w:eastAsia="仿宋" w:cs="仿宋"/>
          <w:color w:val="000000"/>
          <w:sz w:val="31"/>
          <w:szCs w:val="31"/>
          <w:shd w:val="clear" w:color="auto" w:fill="FFFFFF"/>
        </w:rPr>
        <w:t>中蒙药防治奶牛生殖系统炎症疾病的机制研究</w:t>
      </w:r>
      <w:r>
        <w:rPr>
          <w:rFonts w:hint="eastAsia" w:ascii="仿宋" w:hAnsi="仿宋" w:eastAsia="仿宋" w:cs="仿宋"/>
          <w:color w:val="000000"/>
          <w:sz w:val="31"/>
          <w:szCs w:val="31"/>
          <w:shd w:val="clear" w:color="auto" w:fill="FFFFFF"/>
        </w:rPr>
        <w:t>”予以公示，公示内容详见附件。</w:t>
      </w:r>
    </w:p>
    <w:p w14:paraId="5036E0B3">
      <w:pPr>
        <w:pStyle w:val="4"/>
        <w:widowControl/>
        <w:shd w:val="clear" w:color="auto" w:fill="FFFFFF"/>
        <w:spacing w:beforeAutospacing="0" w:afterAutospacing="0"/>
        <w:ind w:firstLine="620" w:firstLineChars="200"/>
        <w:rPr>
          <w:rFonts w:hint="eastAsia" w:ascii="微软雅黑" w:hAnsi="微软雅黑" w:eastAsia="微软雅黑" w:cs="微软雅黑"/>
          <w:color w:val="000000"/>
          <w:sz w:val="16"/>
          <w:szCs w:val="16"/>
        </w:rPr>
      </w:pPr>
      <w:r>
        <w:rPr>
          <w:rFonts w:hint="eastAsia" w:ascii="仿宋" w:hAnsi="仿宋" w:eastAsia="仿宋" w:cs="仿宋"/>
          <w:color w:val="000000"/>
          <w:sz w:val="31"/>
          <w:szCs w:val="31"/>
          <w:shd w:val="clear" w:color="auto" w:fill="FFFFFF"/>
        </w:rPr>
        <w:t>公示时间：2026年9月7日-9月11日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公示期内如有异议，可向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  <w:lang w:val="en-US" w:eastAsia="zh-CN"/>
        </w:rPr>
        <w:t>科研部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提出。提出异议的单位或者个人应当提供书面异议材料，并提供必要的证明文件。以单位名义提出异议的，应当在异议材料上加盖本单位公章并注明联系方式；个人提出异议的，应当在书面异议材料上签署真实姓名、工作单位和联系方式。</w:t>
      </w:r>
    </w:p>
    <w:p w14:paraId="580B333F">
      <w:pPr>
        <w:pStyle w:val="4"/>
        <w:widowControl/>
        <w:spacing w:beforeAutospacing="0" w:afterAutospacing="0" w:line="480" w:lineRule="atLeast"/>
        <w:ind w:firstLine="430"/>
        <w:rPr>
          <w:rFonts w:hint="eastAsia" w:ascii="仿宋" w:hAnsi="仿宋" w:eastAsia="仿宋" w:cs="仿宋"/>
          <w:color w:val="000000"/>
          <w:sz w:val="31"/>
          <w:szCs w:val="31"/>
          <w:shd w:val="clear" w:color="auto" w:fill="FFFFFF"/>
        </w:rPr>
      </w:pPr>
    </w:p>
    <w:p w14:paraId="65BF04F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pacing w:before="0" w:beforeAutospacing="0" w:after="0" w:afterAutospacing="0"/>
        <w:ind w:left="0" w:right="0" w:firstLine="370"/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联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系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人：</w:t>
      </w: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王建忠</w:t>
      </w:r>
    </w:p>
    <w:p w14:paraId="7B13652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pacing w:before="0" w:beforeAutospacing="0" w:after="0" w:afterAutospacing="0"/>
        <w:ind w:left="0" w:right="0" w:firstLine="370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联系电话：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0471-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2575986</w:t>
      </w:r>
    </w:p>
    <w:p w14:paraId="7FDE118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pacing w:before="0" w:beforeAutospacing="0" w:after="0" w:afterAutospacing="0"/>
        <w:ind w:left="0" w:right="0" w:firstLine="370"/>
        <w:jc w:val="righ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</w:pP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科研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部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 xml:space="preserve">   </w:t>
      </w:r>
    </w:p>
    <w:p w14:paraId="3589569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pacing w:before="0" w:beforeAutospacing="0" w:after="0" w:afterAutospacing="0"/>
        <w:ind w:left="0" w:right="0" w:firstLine="37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6"/>
          <w:szCs w:val="16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2026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年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9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月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7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日</w:t>
      </w:r>
    </w:p>
    <w:p w14:paraId="315CCF52">
      <w:pPr>
        <w:jc w:val="center"/>
        <w:rPr>
          <w:rFonts w:hint="eastAsia" w:ascii="微软雅黑" w:hAnsi="微软雅黑" w:eastAsia="微软雅黑" w:cs="微软雅黑"/>
          <w:b/>
          <w:bCs/>
          <w:color w:val="000000"/>
          <w:sz w:val="43"/>
          <w:szCs w:val="43"/>
          <w:shd w:val="clear" w:color="auto" w:fill="FFFFFF"/>
        </w:rPr>
      </w:pPr>
    </w:p>
    <w:p w14:paraId="7E2B184A">
      <w:pPr>
        <w:jc w:val="center"/>
        <w:rPr>
          <w:rFonts w:hint="eastAsia" w:ascii="微软雅黑" w:hAnsi="微软雅黑" w:eastAsia="微软雅黑" w:cs="微软雅黑"/>
          <w:b/>
          <w:bCs/>
          <w:color w:val="000000"/>
          <w:sz w:val="43"/>
          <w:szCs w:val="43"/>
          <w:shd w:val="clear" w:color="auto" w:fill="FFFFFF"/>
        </w:rPr>
      </w:pPr>
    </w:p>
    <w:p w14:paraId="75850A61">
      <w:pPr>
        <w:jc w:val="left"/>
        <w:rPr>
          <w:rFonts w:hint="eastAsia" w:ascii="微软雅黑" w:hAnsi="微软雅黑" w:eastAsia="微软雅黑" w:cs="微软雅黑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sz w:val="32"/>
          <w:szCs w:val="32"/>
          <w:shd w:val="clear" w:color="auto" w:fill="FFFFFF"/>
        </w:rPr>
        <w:t>附件</w:t>
      </w:r>
    </w:p>
    <w:p w14:paraId="1B898CA9">
      <w:pPr>
        <w:jc w:val="center"/>
        <w:rPr>
          <w:rFonts w:hint="eastAsia" w:ascii="微软雅黑" w:hAnsi="微软雅黑" w:eastAsia="微软雅黑" w:cs="微软雅黑"/>
          <w:b/>
          <w:bCs/>
          <w:color w:val="000000"/>
          <w:sz w:val="43"/>
          <w:szCs w:val="43"/>
          <w:shd w:val="clear" w:color="auto" w:fill="FFFFFF"/>
        </w:rPr>
      </w:pPr>
      <w:r>
        <w:rPr>
          <w:rFonts w:ascii="微软雅黑" w:hAnsi="微软雅黑" w:eastAsia="微软雅黑" w:cs="微软雅黑"/>
          <w:b/>
          <w:bCs/>
          <w:color w:val="000000"/>
          <w:sz w:val="43"/>
          <w:szCs w:val="43"/>
          <w:shd w:val="clear" w:color="auto" w:fill="FFFFFF"/>
        </w:rPr>
        <w:t>关于对我单位</w:t>
      </w:r>
      <w:r>
        <w:rPr>
          <w:rFonts w:hint="eastAsia" w:ascii="微软雅黑" w:hAnsi="微软雅黑" w:eastAsia="微软雅黑" w:cs="微软雅黑"/>
          <w:b/>
          <w:bCs/>
          <w:color w:val="000000"/>
          <w:sz w:val="43"/>
          <w:szCs w:val="43"/>
          <w:shd w:val="clear" w:color="auto" w:fill="FFFFFF"/>
        </w:rPr>
        <w:t>景尚斐</w:t>
      </w:r>
      <w:r>
        <w:rPr>
          <w:rFonts w:ascii="微软雅黑" w:hAnsi="微软雅黑" w:eastAsia="微软雅黑" w:cs="微软雅黑"/>
          <w:b/>
          <w:bCs/>
          <w:color w:val="000000"/>
          <w:sz w:val="43"/>
          <w:szCs w:val="43"/>
          <w:highlight w:val="lightGray"/>
          <w:shd w:val="clear" w:color="auto" w:fill="FFFFFF"/>
        </w:rPr>
        <w:t>参与</w:t>
      </w:r>
      <w:r>
        <w:rPr>
          <w:rFonts w:ascii="微软雅黑" w:hAnsi="微软雅黑" w:eastAsia="微软雅黑" w:cs="微软雅黑"/>
          <w:b/>
          <w:bCs/>
          <w:color w:val="000000"/>
          <w:sz w:val="43"/>
          <w:szCs w:val="43"/>
          <w:shd w:val="clear" w:color="auto" w:fill="FFFFFF"/>
        </w:rPr>
        <w:t>申报2026年度内蒙古自治区</w:t>
      </w:r>
      <w:r>
        <w:rPr>
          <w:rFonts w:hint="eastAsia" w:ascii="微软雅黑" w:hAnsi="微软雅黑" w:eastAsia="微软雅黑" w:cs="微软雅黑"/>
          <w:b/>
          <w:bCs/>
          <w:color w:val="000000"/>
          <w:sz w:val="43"/>
          <w:szCs w:val="43"/>
          <w:shd w:val="clear" w:color="auto" w:fill="FFFFFF"/>
        </w:rPr>
        <w:t>自然科学奖</w:t>
      </w:r>
      <w:r>
        <w:rPr>
          <w:rFonts w:ascii="微软雅黑" w:hAnsi="微软雅黑" w:eastAsia="微软雅黑" w:cs="微软雅黑"/>
          <w:b/>
          <w:bCs/>
          <w:color w:val="000000"/>
          <w:sz w:val="43"/>
          <w:szCs w:val="43"/>
          <w:shd w:val="clear" w:color="auto" w:fill="FFFFFF"/>
        </w:rPr>
        <w:t>提名项目的公示</w:t>
      </w:r>
    </w:p>
    <w:p w14:paraId="456BC2B2">
      <w:pPr>
        <w:jc w:val="center"/>
        <w:rPr>
          <w:rFonts w:hint="eastAsia" w:ascii="微软雅黑" w:hAnsi="微软雅黑" w:eastAsia="微软雅黑" w:cs="微软雅黑"/>
          <w:b/>
          <w:bCs/>
          <w:color w:val="000000"/>
          <w:sz w:val="43"/>
          <w:szCs w:val="43"/>
          <w:shd w:val="clear" w:color="auto" w:fill="FFFFFF"/>
        </w:rPr>
      </w:pPr>
      <w:r>
        <w:rPr>
          <w:rStyle w:val="8"/>
          <w:rFonts w:ascii="黑体" w:hAnsi="宋体" w:eastAsia="黑体" w:cs="黑体"/>
          <w:color w:val="000000"/>
          <w:sz w:val="31"/>
          <w:szCs w:val="31"/>
          <w:shd w:val="clear" w:color="auto" w:fill="FFFFFF"/>
        </w:rPr>
        <w:t>公示信息</w:t>
      </w:r>
    </w:p>
    <w:tbl>
      <w:tblPr>
        <w:tblStyle w:val="6"/>
        <w:tblW w:w="95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1108"/>
        <w:gridCol w:w="820"/>
        <w:gridCol w:w="820"/>
        <w:gridCol w:w="4313"/>
        <w:gridCol w:w="1065"/>
        <w:gridCol w:w="943"/>
      </w:tblGrid>
      <w:tr w14:paraId="676EF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2" w:hRule="atLeast"/>
        </w:trPr>
        <w:tc>
          <w:tcPr>
            <w:tcW w:w="525" w:type="dxa"/>
            <w:vAlign w:val="center"/>
          </w:tcPr>
          <w:p w14:paraId="1FB6E66D">
            <w:pPr>
              <w:pStyle w:val="4"/>
              <w:widowControl/>
              <w:spacing w:beforeAutospacing="0" w:afterAutospacing="0"/>
              <w:jc w:val="center"/>
              <w:textAlignment w:val="center"/>
              <w:rPr>
                <w:rStyle w:val="8"/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序号</w:t>
            </w:r>
          </w:p>
        </w:tc>
        <w:tc>
          <w:tcPr>
            <w:tcW w:w="1108" w:type="dxa"/>
            <w:vAlign w:val="center"/>
          </w:tcPr>
          <w:p w14:paraId="405D208B">
            <w:pPr>
              <w:pStyle w:val="4"/>
              <w:widowControl/>
              <w:spacing w:beforeAutospacing="0" w:afterAutospacing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48"/>
                <w:szCs w:val="48"/>
                <w:shd w:val="clear" w:color="auto" w:fill="FFFFFF"/>
              </w:rPr>
            </w:pPr>
            <w:r>
              <w:rPr>
                <w:rStyle w:val="8"/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奖项</w:t>
            </w:r>
          </w:p>
        </w:tc>
        <w:tc>
          <w:tcPr>
            <w:tcW w:w="820" w:type="dxa"/>
            <w:vAlign w:val="center"/>
          </w:tcPr>
          <w:p w14:paraId="789B272D">
            <w:pPr>
              <w:pStyle w:val="4"/>
              <w:widowControl/>
              <w:spacing w:beforeAutospacing="0" w:afterAutospacing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48"/>
                <w:szCs w:val="48"/>
                <w:shd w:val="clear" w:color="auto" w:fill="FFFFFF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项目名称</w:t>
            </w:r>
          </w:p>
        </w:tc>
        <w:tc>
          <w:tcPr>
            <w:tcW w:w="820" w:type="dxa"/>
            <w:vAlign w:val="center"/>
          </w:tcPr>
          <w:p w14:paraId="3DAF59D5">
            <w:pPr>
              <w:pStyle w:val="4"/>
              <w:widowControl/>
              <w:spacing w:beforeAutospacing="0" w:afterAutospacing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48"/>
                <w:szCs w:val="48"/>
                <w:shd w:val="clear" w:color="auto" w:fill="FFFFFF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提名者</w:t>
            </w:r>
          </w:p>
        </w:tc>
        <w:tc>
          <w:tcPr>
            <w:tcW w:w="4313" w:type="dxa"/>
            <w:vAlign w:val="center"/>
          </w:tcPr>
          <w:p w14:paraId="7D36585D">
            <w:pPr>
              <w:pStyle w:val="4"/>
              <w:widowControl/>
              <w:spacing w:beforeAutospacing="0" w:afterAutospacing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48"/>
                <w:szCs w:val="48"/>
                <w:shd w:val="clear" w:color="auto" w:fill="FFFFFF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代表性论文（专著）目录</w:t>
            </w:r>
            <w:r>
              <w:rPr>
                <w:rStyle w:val="8"/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/</w:t>
            </w:r>
            <w:r>
              <w:rPr>
                <w:rStyle w:val="8"/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主要知识产权和标准规范目录</w:t>
            </w:r>
          </w:p>
        </w:tc>
        <w:tc>
          <w:tcPr>
            <w:tcW w:w="1065" w:type="dxa"/>
            <w:vAlign w:val="center"/>
          </w:tcPr>
          <w:p w14:paraId="7B347ABD">
            <w:pPr>
              <w:pStyle w:val="4"/>
              <w:widowControl/>
              <w:spacing w:beforeAutospacing="0" w:afterAutospacing="0"/>
              <w:jc w:val="center"/>
              <w:textAlignment w:val="center"/>
              <w:rPr>
                <w:rFonts w:hint="eastAsia" w:ascii="微软雅黑" w:hAnsi="微软雅黑" w:eastAsia="仿宋_GB2312" w:cs="微软雅黑"/>
                <w:b/>
                <w:bCs/>
                <w:color w:val="000000"/>
                <w:sz w:val="48"/>
                <w:szCs w:val="48"/>
                <w:shd w:val="clear" w:color="auto" w:fill="FFFFFF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主要完成人（按提名顺序）</w:t>
            </w:r>
          </w:p>
        </w:tc>
        <w:tc>
          <w:tcPr>
            <w:tcW w:w="943" w:type="dxa"/>
            <w:vAlign w:val="center"/>
          </w:tcPr>
          <w:p w14:paraId="2907603F">
            <w:pPr>
              <w:pStyle w:val="4"/>
              <w:widowControl/>
              <w:spacing w:beforeAutospacing="0" w:afterAutospacing="0"/>
              <w:jc w:val="center"/>
              <w:textAlignment w:val="center"/>
              <w:rPr>
                <w:rFonts w:hint="eastAsia" w:ascii="微软雅黑" w:hAnsi="微软雅黑" w:eastAsia="仿宋_GB2312" w:cs="微软雅黑"/>
                <w:b/>
                <w:bCs/>
                <w:color w:val="000000"/>
                <w:sz w:val="48"/>
                <w:szCs w:val="48"/>
                <w:shd w:val="clear" w:color="auto" w:fill="FFFFFF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主要完成单位（按提名顺序）</w:t>
            </w:r>
          </w:p>
        </w:tc>
      </w:tr>
      <w:tr w14:paraId="63EA8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525" w:type="dxa"/>
          </w:tcPr>
          <w:p w14:paraId="542780C7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Cs w:val="21"/>
                <w:shd w:val="clear" w:color="auto" w:fill="FFFFFF"/>
              </w:rPr>
              <w:t>1</w:t>
            </w:r>
          </w:p>
        </w:tc>
        <w:tc>
          <w:tcPr>
            <w:tcW w:w="1108" w:type="dxa"/>
          </w:tcPr>
          <w:p w14:paraId="540867E5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Cs w:val="21"/>
                <w:shd w:val="clear" w:color="auto" w:fill="FFFFFF"/>
              </w:rPr>
            </w:pPr>
            <w:r>
              <w:rPr>
                <w:rFonts w:ascii="微软雅黑" w:hAnsi="微软雅黑" w:eastAsia="微软雅黑" w:cs="微软雅黑"/>
                <w:b/>
                <w:bCs/>
                <w:color w:val="000000"/>
                <w:szCs w:val="21"/>
                <w:shd w:val="clear" w:color="auto" w:fill="FFFFFF"/>
              </w:rPr>
              <w:t>自然科学奖 一等奖或二等奖</w:t>
            </w:r>
          </w:p>
        </w:tc>
        <w:tc>
          <w:tcPr>
            <w:tcW w:w="820" w:type="dxa"/>
          </w:tcPr>
          <w:p w14:paraId="20762EF5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Cs w:val="21"/>
                <w:shd w:val="clear" w:color="auto" w:fill="FFFFFF"/>
              </w:rPr>
            </w:pPr>
            <w:r>
              <w:rPr>
                <w:rFonts w:ascii="微软雅黑" w:hAnsi="微软雅黑" w:eastAsia="微软雅黑" w:cs="微软雅黑"/>
                <w:b/>
                <w:bCs/>
                <w:color w:val="000000"/>
                <w:szCs w:val="21"/>
                <w:shd w:val="clear" w:color="auto" w:fill="FFFFFF"/>
              </w:rPr>
              <w:t>中蒙药防治奶牛生殖系统炎症疾病的机制研究</w:t>
            </w:r>
          </w:p>
        </w:tc>
        <w:tc>
          <w:tcPr>
            <w:tcW w:w="820" w:type="dxa"/>
          </w:tcPr>
          <w:p w14:paraId="2B1E450B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Cs w:val="21"/>
                <w:shd w:val="clear" w:color="auto" w:fill="FFFFFF"/>
              </w:rPr>
              <w:t>内蒙古农业大学单位</w:t>
            </w:r>
          </w:p>
        </w:tc>
        <w:tc>
          <w:tcPr>
            <w:tcW w:w="4313" w:type="dxa"/>
          </w:tcPr>
          <w:p w14:paraId="50EF88C4">
            <w:pPr>
              <w:jc w:val="left"/>
              <w:rPr>
                <w:rFonts w:hint="eastAsia" w:ascii="微软雅黑" w:hAnsi="微软雅黑" w:eastAsia="微软雅黑" w:cs="微软雅黑"/>
                <w:b/>
                <w:bCs/>
                <w:color w:val="000000"/>
                <w:szCs w:val="21"/>
                <w:shd w:val="clear" w:color="auto" w:fill="FFFFFF"/>
              </w:rPr>
            </w:pPr>
            <w:r>
              <w:rPr>
                <w:rFonts w:ascii="微软雅黑" w:hAnsi="微软雅黑" w:eastAsia="微软雅黑" w:cs="微软雅黑"/>
                <w:b/>
                <w:bCs/>
                <w:color w:val="000000"/>
                <w:szCs w:val="21"/>
                <w:shd w:val="clear" w:color="auto" w:fill="FFFFFF"/>
              </w:rPr>
              <w:t>1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Cs w:val="21"/>
                <w:shd w:val="clear" w:color="auto" w:fill="FFFFFF"/>
              </w:rPr>
              <w:t>.</w:t>
            </w:r>
            <w:r>
              <w:rPr>
                <w:rFonts w:ascii="微软雅黑" w:hAnsi="微软雅黑" w:eastAsia="微软雅黑" w:cs="微软雅黑"/>
                <w:b/>
                <w:bCs/>
                <w:color w:val="000000"/>
                <w:szCs w:val="21"/>
                <w:shd w:val="clear" w:color="auto" w:fill="FFFFFF"/>
              </w:rPr>
              <w:t xml:space="preserve"> Chlorogenic acid attenuates lipopolysaccharide-induced micemastitis  bysuppressing TLR4-mediated NF-κB signaling pathway</w:t>
            </w:r>
          </w:p>
          <w:p w14:paraId="105E9595">
            <w:pPr>
              <w:jc w:val="left"/>
              <w:rPr>
                <w:rFonts w:hint="eastAsia" w:ascii="微软雅黑" w:hAnsi="微软雅黑" w:eastAsia="微软雅黑" w:cs="微软雅黑"/>
                <w:b/>
                <w:bCs/>
                <w:color w:val="000000"/>
                <w:szCs w:val="21"/>
                <w:shd w:val="clear" w:color="auto" w:fill="FFFFFF"/>
              </w:rPr>
            </w:pPr>
            <w:r>
              <w:rPr>
                <w:rFonts w:ascii="微软雅黑" w:hAnsi="微软雅黑" w:eastAsia="微软雅黑" w:cs="微软雅黑"/>
                <w:b/>
                <w:bCs/>
                <w:color w:val="000000"/>
                <w:szCs w:val="21"/>
                <w:shd w:val="clear" w:color="auto" w:fill="FFFFFF"/>
              </w:rPr>
              <w:t>2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Cs w:val="21"/>
                <w:shd w:val="clear" w:color="auto" w:fill="FFFFFF"/>
              </w:rPr>
              <w:t>.</w:t>
            </w:r>
            <w:r>
              <w:rPr>
                <w:rFonts w:ascii="微软雅黑" w:hAnsi="微软雅黑" w:eastAsia="微软雅黑" w:cs="微软雅黑"/>
                <w:b/>
                <w:bCs/>
                <w:color w:val="000000"/>
                <w:szCs w:val="21"/>
                <w:shd w:val="clear" w:color="auto" w:fill="FFFFFF"/>
              </w:rPr>
              <w:t xml:space="preserve"> Protective effect of chl</w:t>
            </w:r>
            <w:bookmarkStart w:id="0" w:name="_GoBack"/>
            <w:bookmarkEnd w:id="0"/>
            <w:r>
              <w:rPr>
                <w:rFonts w:ascii="微软雅黑" w:hAnsi="微软雅黑" w:eastAsia="微软雅黑" w:cs="微软雅黑"/>
                <w:b/>
                <w:bCs/>
                <w:color w:val="000000"/>
                <w:szCs w:val="21"/>
                <w:shd w:val="clear" w:color="auto" w:fill="FFFFFF"/>
              </w:rPr>
              <w:t>orogenic acid on lipopolysaccharide-induced</w:t>
            </w:r>
          </w:p>
          <w:p w14:paraId="179D2875">
            <w:pPr>
              <w:jc w:val="left"/>
              <w:rPr>
                <w:rFonts w:hint="eastAsia" w:ascii="微软雅黑" w:hAnsi="微软雅黑" w:eastAsia="微软雅黑" w:cs="微软雅黑"/>
                <w:b/>
                <w:bCs/>
                <w:color w:val="000000"/>
                <w:szCs w:val="21"/>
                <w:shd w:val="clear" w:color="auto" w:fill="FFFFFF"/>
              </w:rPr>
            </w:pPr>
            <w:r>
              <w:rPr>
                <w:rFonts w:ascii="微软雅黑" w:hAnsi="微软雅黑" w:eastAsia="微软雅黑" w:cs="微软雅黑"/>
                <w:b/>
                <w:bCs/>
                <w:color w:val="000000"/>
                <w:szCs w:val="21"/>
                <w:shd w:val="clear" w:color="auto" w:fill="FFFFFF"/>
              </w:rPr>
              <w:t>inflammatory response in dairy mammary epithelial cells</w:t>
            </w:r>
          </w:p>
          <w:p w14:paraId="0325D43E">
            <w:pPr>
              <w:jc w:val="left"/>
              <w:rPr>
                <w:rFonts w:hint="eastAsia" w:ascii="微软雅黑" w:hAnsi="微软雅黑" w:eastAsia="微软雅黑" w:cs="微软雅黑"/>
                <w:b/>
                <w:bCs/>
                <w:color w:val="000000"/>
                <w:szCs w:val="21"/>
                <w:shd w:val="clear" w:color="auto" w:fill="FFFFFF"/>
              </w:rPr>
            </w:pPr>
            <w:r>
              <w:rPr>
                <w:rFonts w:ascii="微软雅黑" w:hAnsi="微软雅黑" w:eastAsia="微软雅黑" w:cs="微软雅黑"/>
                <w:b/>
                <w:bCs/>
                <w:color w:val="000000"/>
                <w:szCs w:val="21"/>
                <w:shd w:val="clear" w:color="auto" w:fill="FFFFFF"/>
              </w:rPr>
              <w:t>3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Cs w:val="21"/>
                <w:shd w:val="clear" w:color="auto" w:fill="FFFFFF"/>
              </w:rPr>
              <w:t>.</w:t>
            </w:r>
            <w:r>
              <w:rPr>
                <w:rFonts w:ascii="微软雅黑" w:hAnsi="微软雅黑" w:eastAsia="微软雅黑" w:cs="微软雅黑"/>
                <w:b/>
                <w:bCs/>
                <w:color w:val="000000"/>
                <w:szCs w:val="21"/>
                <w:shd w:val="clear" w:color="auto" w:fill="FFFFFF"/>
              </w:rPr>
              <w:t xml:space="preserve"> Activation of alpha7 nicotinic acetylcholine receptor protects bovine endometrial tissue against LPS-induced inflammatory injury via JAK2/ STAT3 pathway and COX-2 derived prostaglandin E2</w:t>
            </w:r>
          </w:p>
          <w:p w14:paraId="5D4C09CA">
            <w:pPr>
              <w:jc w:val="left"/>
              <w:rPr>
                <w:rFonts w:hint="eastAsia" w:ascii="微软雅黑" w:hAnsi="微软雅黑" w:eastAsia="微软雅黑" w:cs="微软雅黑"/>
                <w:b/>
                <w:bCs/>
                <w:color w:val="000000"/>
                <w:szCs w:val="21"/>
                <w:shd w:val="clear" w:color="auto" w:fill="FFFFFF"/>
              </w:rPr>
            </w:pPr>
            <w:r>
              <w:rPr>
                <w:rFonts w:ascii="微软雅黑" w:hAnsi="微软雅黑" w:eastAsia="微软雅黑" w:cs="微软雅黑"/>
                <w:b/>
                <w:bCs/>
                <w:color w:val="000000"/>
                <w:szCs w:val="21"/>
                <w:shd w:val="clear" w:color="auto" w:fill="FFFFFF"/>
              </w:rPr>
              <w:t>4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Cs w:val="21"/>
                <w:shd w:val="clear" w:color="auto" w:fill="FFFFFF"/>
              </w:rPr>
              <w:t>.</w:t>
            </w:r>
            <w:r>
              <w:rPr>
                <w:rFonts w:ascii="微软雅黑" w:hAnsi="微软雅黑" w:eastAsia="微软雅黑" w:cs="微软雅黑"/>
                <w:b/>
                <w:bCs/>
                <w:color w:val="000000"/>
                <w:szCs w:val="21"/>
                <w:shd w:val="clear" w:color="auto" w:fill="FFFFFF"/>
              </w:rPr>
              <w:t xml:space="preserve"> Sialic acid exacerbates gut dysbiosis-associated mastitis through the microbiota-gut-mammary axis by fueling gut microbiota disruption</w:t>
            </w:r>
          </w:p>
          <w:p w14:paraId="54C4A3C1">
            <w:pPr>
              <w:jc w:val="left"/>
              <w:rPr>
                <w:rFonts w:hint="eastAsia" w:ascii="微软雅黑" w:hAnsi="微软雅黑" w:eastAsia="微软雅黑" w:cs="微软雅黑"/>
                <w:b/>
                <w:bCs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Cs w:val="21"/>
                <w:shd w:val="clear" w:color="auto" w:fill="FFFFFF"/>
              </w:rPr>
              <w:t>5. 诃子鞣酸对ＬＰＳ诱导的小鼠子宫内膜炎的保护作用</w:t>
            </w:r>
          </w:p>
        </w:tc>
        <w:tc>
          <w:tcPr>
            <w:tcW w:w="1065" w:type="dxa"/>
          </w:tcPr>
          <w:p w14:paraId="3EAACD10">
            <w:pPr>
              <w:widowControl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Cs w:val="21"/>
                <w:shd w:val="clear" w:color="auto" w:fill="FFFFFF"/>
              </w:rPr>
              <w:t>高瑞峰（内蒙古农业大学）、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Cs w:val="21"/>
                <w:shd w:val="clear" w:color="auto" w:fill="FFFFFF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Cs w:val="21"/>
                <w:shd w:val="clear" w:color="auto" w:fill="FFFFFF"/>
              </w:rPr>
              <w:t xml:space="preserve"> 贺鹏飞（内蒙古农业大学）、 杨慧娣（内蒙古医科大学）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Cs w:val="21"/>
                <w:shd w:val="clear" w:color="auto" w:fill="FFFFFF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Cs w:val="21"/>
                <w:shd w:val="clear" w:color="auto" w:fill="FFFFFF"/>
              </w:rPr>
              <w:t>、郭文瑞（内蒙古农业大学）</w:t>
            </w:r>
          </w:p>
          <w:p w14:paraId="5E251F95">
            <w:pPr>
              <w:widowControl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Cs w:val="21"/>
                <w:shd w:val="clear" w:color="auto" w:fill="FFFFFF"/>
              </w:rPr>
              <w:t>张乃生（吉林大学）、</w:t>
            </w:r>
          </w:p>
          <w:p w14:paraId="191F8D06">
            <w:pPr>
              <w:widowControl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Cs w:val="21"/>
                <w:shd w:val="clear" w:color="auto" w:fill="FFFFFF"/>
              </w:rPr>
              <w:t>景尚斐（内蒙古医科大学）</w:t>
            </w:r>
          </w:p>
          <w:p w14:paraId="0A0BB91F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943" w:type="dxa"/>
          </w:tcPr>
          <w:p w14:paraId="4199F462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Cs w:val="21"/>
                <w:shd w:val="clear" w:color="auto" w:fill="FFFFFF"/>
              </w:rPr>
              <w:t>内蒙古农业大学、内蒙古医科大学、吉林大学</w:t>
            </w:r>
          </w:p>
        </w:tc>
      </w:tr>
    </w:tbl>
    <w:p w14:paraId="3EF16EA3">
      <w:pPr>
        <w:jc w:val="center"/>
        <w:rPr>
          <w:rFonts w:hint="eastAsia" w:ascii="微软雅黑" w:hAnsi="微软雅黑" w:eastAsia="微软雅黑" w:cs="微软雅黑"/>
          <w:b/>
          <w:bCs/>
          <w:color w:val="000000"/>
          <w:sz w:val="43"/>
          <w:szCs w:val="43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A06AC0"/>
    <w:rsid w:val="005F5DD6"/>
    <w:rsid w:val="00626A42"/>
    <w:rsid w:val="00647EC2"/>
    <w:rsid w:val="00660550"/>
    <w:rsid w:val="0076448D"/>
    <w:rsid w:val="007C0A39"/>
    <w:rsid w:val="00AD0465"/>
    <w:rsid w:val="00BB730B"/>
    <w:rsid w:val="00CB5CBD"/>
    <w:rsid w:val="00E44E2C"/>
    <w:rsid w:val="019B53E2"/>
    <w:rsid w:val="05A06AC0"/>
    <w:rsid w:val="0A721A8C"/>
    <w:rsid w:val="17B42173"/>
    <w:rsid w:val="22261312"/>
    <w:rsid w:val="359F5B98"/>
    <w:rsid w:val="4C0B6643"/>
    <w:rsid w:val="5DA23EC1"/>
    <w:rsid w:val="7171154D"/>
    <w:rsid w:val="7F4D2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615</Words>
  <Characters>1091</Characters>
  <Lines>98</Lines>
  <Paragraphs>33</Paragraphs>
  <TotalTime>0</TotalTime>
  <ScaleCrop>false</ScaleCrop>
  <LinksUpToDate>false</LinksUpToDate>
  <CharactersWithSpaces>1162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2026-09-04T12:07:00Z</dcterms:created>
  <dc:creator>王诗淇</dc:creator>
  <cp:lastModifiedBy>秦维铎</cp:lastModifiedBy>
  <dcterms:modified xsi:type="dcterms:W3CDTF">2026-09-07T08:03:25Z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F5EC793786534562923A1D0B78E5CFB6_13</vt:lpwstr>
  </property>
  <property fmtid="{D5CDD505-2E9C-101B-9397-08002B2CF9AE}" pid="4" name="KSOTemplateDocerSaveRecord">
    <vt:lpwstr>eyJoZGlkIjoiZDZjMGQ4MzMxY2UwZTMyMGI5MzI2NzE3YjQ1Mzc1NjciLCJ1c2VySWQiOiIxNzExNzk1ODUwIn0=</vt:lpwstr>
  </property>
</Properties>
</file>